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CA" w:rsidRDefault="00911BCA" w:rsidP="00911BCA">
      <w:pPr>
        <w:spacing w:line="400" w:lineRule="exact"/>
        <w:jc w:val="center"/>
        <w:textDirection w:val="lrTbV"/>
        <w:rPr>
          <w:b/>
          <w:sz w:val="40"/>
          <w:szCs w:val="40"/>
        </w:rPr>
      </w:pPr>
      <w:r>
        <w:rPr>
          <w:rFonts w:hAnsi="標楷體" w:hint="eastAsia"/>
          <w:b/>
          <w:color w:val="000000"/>
          <w:sz w:val="40"/>
          <w:szCs w:val="40"/>
          <w:u w:color="000000"/>
        </w:rPr>
        <w:t>財團法人臺灣更生保護會屏東分會</w:t>
      </w:r>
      <w:r>
        <w:rPr>
          <w:rFonts w:hint="eastAsia"/>
          <w:b/>
          <w:sz w:val="40"/>
          <w:szCs w:val="40"/>
        </w:rPr>
        <w:t>評審說明</w:t>
      </w:r>
    </w:p>
    <w:p w:rsidR="00911BCA" w:rsidRPr="005E0E77" w:rsidRDefault="00911BCA" w:rsidP="00911BCA">
      <w:pPr>
        <w:spacing w:line="400" w:lineRule="exact"/>
        <w:jc w:val="center"/>
        <w:rPr>
          <w:rFonts w:ascii="新細明體" w:hAnsi="新細明體"/>
          <w:b/>
          <w:color w:val="FF0000"/>
        </w:rPr>
      </w:pPr>
      <w:r w:rsidRPr="005E0E77">
        <w:rPr>
          <w:rFonts w:ascii="新細明體" w:hAnsi="新細明體" w:hint="eastAsia"/>
          <w:b/>
          <w:color w:val="FF0000"/>
        </w:rPr>
        <w:t>【序位法</w:t>
      </w:r>
      <w:r w:rsidRPr="005E0E77">
        <w:rPr>
          <w:rFonts w:ascii="新細明體" w:hAnsi="新細明體" w:hint="eastAsia"/>
          <w:b/>
          <w:color w:val="FF0000"/>
        </w:rPr>
        <w:t>-</w:t>
      </w:r>
      <w:r w:rsidRPr="005E0E77">
        <w:rPr>
          <w:rFonts w:ascii="新細明體" w:hAnsi="新細明體" w:hint="eastAsia"/>
          <w:b/>
          <w:color w:val="FF0000"/>
        </w:rPr>
        <w:t>評分轉序位評比】</w:t>
      </w:r>
    </w:p>
    <w:p w:rsidR="00911BCA" w:rsidRDefault="00911BCA" w:rsidP="00911BCA">
      <w:pPr>
        <w:spacing w:line="360" w:lineRule="exact"/>
        <w:jc w:val="right"/>
        <w:rPr>
          <w:rFonts w:ascii="新細明體" w:hAnsi="新細明體"/>
        </w:rPr>
      </w:pPr>
    </w:p>
    <w:p w:rsidR="00911BCA" w:rsidRPr="00FD4ACD" w:rsidRDefault="00911BCA" w:rsidP="00911BCA">
      <w:pPr>
        <w:spacing w:line="540" w:lineRule="exact"/>
        <w:ind w:firstLineChars="100" w:firstLine="280"/>
        <w:rPr>
          <w:rFonts w:ascii="標楷體" w:hAnsi="標楷體"/>
          <w:b/>
          <w:szCs w:val="28"/>
          <w:u w:val="single"/>
        </w:rPr>
      </w:pPr>
      <w:r w:rsidRPr="00FD4ACD">
        <w:rPr>
          <w:rFonts w:ascii="標楷體" w:hAnsi="標楷體" w:hint="eastAsia"/>
          <w:b/>
          <w:szCs w:val="28"/>
        </w:rPr>
        <w:t>採購案號：</w:t>
      </w:r>
      <w:r>
        <w:rPr>
          <w:rFonts w:ascii="標楷體" w:hAnsi="標楷體" w:hint="eastAsia"/>
          <w:b/>
          <w:szCs w:val="28"/>
        </w:rPr>
        <w:t>10</w:t>
      </w:r>
      <w:r w:rsidR="00666C7A">
        <w:rPr>
          <w:rFonts w:ascii="標楷體" w:hAnsi="標楷體" w:hint="eastAsia"/>
          <w:b/>
          <w:szCs w:val="28"/>
        </w:rPr>
        <w:t>7</w:t>
      </w:r>
      <w:proofErr w:type="gramStart"/>
      <w:r>
        <w:rPr>
          <w:rFonts w:ascii="標楷體" w:hAnsi="標楷體" w:hint="eastAsia"/>
          <w:b/>
          <w:szCs w:val="28"/>
        </w:rPr>
        <w:t>Ａ</w:t>
      </w:r>
      <w:proofErr w:type="gramEnd"/>
      <w:r>
        <w:rPr>
          <w:rFonts w:ascii="標楷體" w:hAnsi="標楷體" w:hint="eastAsia"/>
          <w:b/>
          <w:szCs w:val="28"/>
        </w:rPr>
        <w:t>02</w:t>
      </w:r>
    </w:p>
    <w:p w:rsidR="00911BCA" w:rsidRPr="00FD4ACD" w:rsidRDefault="00911BCA" w:rsidP="00911BCA">
      <w:pPr>
        <w:spacing w:line="540" w:lineRule="exact"/>
        <w:ind w:firstLineChars="100" w:firstLine="280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採購名稱</w:t>
      </w:r>
      <w:r w:rsidRPr="00FD4ACD">
        <w:rPr>
          <w:rFonts w:ascii="標楷體" w:hAnsi="標楷體" w:hint="eastAsia"/>
          <w:b/>
          <w:szCs w:val="28"/>
        </w:rPr>
        <w:t>：</w:t>
      </w:r>
      <w:r w:rsidRPr="0085649F">
        <w:rPr>
          <w:rFonts w:ascii="標楷體" w:hAnsi="標楷體" w:hint="eastAsia"/>
          <w:b/>
          <w:color w:val="FF0000"/>
          <w:szCs w:val="28"/>
          <w:u w:val="single"/>
        </w:rPr>
        <w:t>委託</w:t>
      </w:r>
      <w:r w:rsidR="00666C7A">
        <w:rPr>
          <w:rFonts w:ascii="標楷體" w:hAnsi="標楷體" w:hint="eastAsia"/>
          <w:b/>
          <w:color w:val="FF0000"/>
          <w:szCs w:val="28"/>
          <w:u w:val="single"/>
        </w:rPr>
        <w:t>辦理更生人家庭支持服務方案</w:t>
      </w:r>
      <w:r w:rsidRPr="0085649F">
        <w:rPr>
          <w:rFonts w:ascii="標楷體" w:hAnsi="標楷體" w:hint="eastAsia"/>
          <w:b/>
          <w:color w:val="FF0000"/>
          <w:szCs w:val="28"/>
          <w:u w:val="single"/>
        </w:rPr>
        <w:t>採</w:t>
      </w:r>
      <w:r>
        <w:rPr>
          <w:rFonts w:ascii="標楷體" w:hAnsi="標楷體" w:hint="eastAsia"/>
          <w:b/>
          <w:color w:val="FF0000"/>
          <w:szCs w:val="28"/>
          <w:u w:val="single"/>
        </w:rPr>
        <w:t>購案</w:t>
      </w:r>
      <w:r>
        <w:rPr>
          <w:rFonts w:ascii="標楷體" w:hAnsi="標楷體" w:hint="eastAsia"/>
          <w:b/>
          <w:szCs w:val="28"/>
        </w:rPr>
        <w:t xml:space="preserve"> </w:t>
      </w:r>
    </w:p>
    <w:p w:rsidR="00911BCA" w:rsidRPr="00576F2A" w:rsidRDefault="006E05B7" w:rsidP="00911BCA">
      <w:pPr>
        <w:pStyle w:val="3"/>
        <w:tabs>
          <w:tab w:val="left" w:pos="540"/>
          <w:tab w:val="left" w:pos="720"/>
        </w:tabs>
        <w:snapToGrid w:val="0"/>
        <w:spacing w:line="540" w:lineRule="exact"/>
        <w:ind w:leftChars="0" w:left="0" w:firstLineChars="100" w:firstLine="280"/>
        <w:rPr>
          <w:b/>
          <w:szCs w:val="28"/>
        </w:rPr>
      </w:pPr>
      <w:r>
        <w:rPr>
          <w:rFonts w:hint="eastAsia"/>
          <w:b/>
          <w:szCs w:val="28"/>
        </w:rPr>
        <w:t>評審</w:t>
      </w:r>
      <w:r w:rsidR="00911BCA" w:rsidRPr="00576F2A">
        <w:rPr>
          <w:rFonts w:hint="eastAsia"/>
          <w:b/>
          <w:szCs w:val="28"/>
        </w:rPr>
        <w:t>日期為：</w:t>
      </w:r>
      <w:r w:rsidR="00911BCA">
        <w:rPr>
          <w:rFonts w:hint="eastAsia"/>
          <w:b/>
          <w:szCs w:val="28"/>
        </w:rPr>
        <w:t>10</w:t>
      </w:r>
      <w:r w:rsidR="00666C7A">
        <w:rPr>
          <w:rFonts w:hint="eastAsia"/>
          <w:b/>
          <w:szCs w:val="28"/>
        </w:rPr>
        <w:t>7</w:t>
      </w:r>
      <w:r w:rsidR="00911BCA">
        <w:rPr>
          <w:rFonts w:hint="eastAsia"/>
          <w:b/>
          <w:szCs w:val="28"/>
        </w:rPr>
        <w:t>年</w:t>
      </w:r>
      <w:r w:rsidR="00666C7A">
        <w:rPr>
          <w:rFonts w:hint="eastAsia"/>
          <w:b/>
          <w:szCs w:val="28"/>
        </w:rPr>
        <w:t>12</w:t>
      </w:r>
      <w:r w:rsidR="00911BCA">
        <w:rPr>
          <w:rFonts w:hint="eastAsia"/>
          <w:b/>
          <w:szCs w:val="28"/>
        </w:rPr>
        <w:t>月</w:t>
      </w:r>
      <w:r w:rsidR="00666C7A">
        <w:rPr>
          <w:rFonts w:hint="eastAsia"/>
          <w:b/>
          <w:szCs w:val="28"/>
        </w:rPr>
        <w:t>20</w:t>
      </w:r>
      <w:r w:rsidR="00911BCA">
        <w:rPr>
          <w:rFonts w:hint="eastAsia"/>
          <w:b/>
          <w:szCs w:val="28"/>
        </w:rPr>
        <w:t>日(星期</w:t>
      </w:r>
      <w:r w:rsidR="00666C7A">
        <w:rPr>
          <w:rFonts w:hint="eastAsia"/>
          <w:b/>
          <w:szCs w:val="28"/>
        </w:rPr>
        <w:t>四)下午3</w:t>
      </w:r>
      <w:r w:rsidR="00911BCA">
        <w:rPr>
          <w:rFonts w:hint="eastAsia"/>
          <w:b/>
          <w:szCs w:val="28"/>
        </w:rPr>
        <w:t>時</w:t>
      </w:r>
      <w:r w:rsidR="00666C7A">
        <w:rPr>
          <w:rFonts w:hint="eastAsia"/>
          <w:b/>
          <w:szCs w:val="28"/>
        </w:rPr>
        <w:t>30分</w:t>
      </w:r>
    </w:p>
    <w:p w:rsidR="006E05B7" w:rsidRDefault="00911BCA" w:rsidP="006E05B7">
      <w:pPr>
        <w:pStyle w:val="3"/>
        <w:tabs>
          <w:tab w:val="left" w:pos="540"/>
          <w:tab w:val="left" w:pos="720"/>
        </w:tabs>
        <w:snapToGrid w:val="0"/>
        <w:spacing w:line="540" w:lineRule="exact"/>
        <w:ind w:leftChars="100" w:left="2382" w:hangingChars="750" w:hanging="2102"/>
        <w:rPr>
          <w:rFonts w:hAnsi="標楷體" w:hint="eastAsia"/>
          <w:b/>
          <w:color w:val="FF0000"/>
          <w:szCs w:val="28"/>
        </w:rPr>
      </w:pPr>
      <w:r>
        <w:rPr>
          <w:rFonts w:hint="eastAsia"/>
          <w:b/>
          <w:szCs w:val="28"/>
        </w:rPr>
        <w:t>評審</w:t>
      </w:r>
      <w:r w:rsidRPr="00576F2A">
        <w:rPr>
          <w:rFonts w:hint="eastAsia"/>
          <w:b/>
          <w:szCs w:val="28"/>
        </w:rPr>
        <w:t>日期為：</w:t>
      </w:r>
      <w:r>
        <w:rPr>
          <w:rFonts w:hAnsi="標楷體" w:hint="eastAsia"/>
          <w:b/>
          <w:szCs w:val="28"/>
        </w:rPr>
        <w:t>▓</w:t>
      </w:r>
      <w:r w:rsidRPr="00576F2A">
        <w:rPr>
          <w:rFonts w:hAnsi="標楷體" w:hint="eastAsia"/>
          <w:b/>
          <w:color w:val="FF0000"/>
          <w:szCs w:val="28"/>
        </w:rPr>
        <w:t xml:space="preserve"> </w:t>
      </w:r>
      <w:r>
        <w:rPr>
          <w:rFonts w:hAnsi="標楷體" w:hint="eastAsia"/>
          <w:b/>
          <w:color w:val="FF0000"/>
          <w:szCs w:val="28"/>
        </w:rPr>
        <w:t>10</w:t>
      </w:r>
      <w:r w:rsidR="00666C7A">
        <w:rPr>
          <w:rFonts w:hAnsi="標楷體" w:hint="eastAsia"/>
          <w:b/>
          <w:color w:val="FF0000"/>
          <w:szCs w:val="28"/>
        </w:rPr>
        <w:t>7</w:t>
      </w:r>
      <w:r w:rsidRPr="00576F2A">
        <w:rPr>
          <w:rFonts w:hint="eastAsia"/>
          <w:b/>
          <w:color w:val="FF0000"/>
          <w:szCs w:val="28"/>
        </w:rPr>
        <w:t>年</w:t>
      </w:r>
      <w:r w:rsidR="00666C7A">
        <w:rPr>
          <w:rFonts w:hint="eastAsia"/>
          <w:b/>
          <w:color w:val="FF0000"/>
          <w:szCs w:val="28"/>
        </w:rPr>
        <w:t>12</w:t>
      </w:r>
      <w:r w:rsidRPr="00576F2A">
        <w:rPr>
          <w:rFonts w:hint="eastAsia"/>
          <w:b/>
          <w:color w:val="FF0000"/>
          <w:szCs w:val="28"/>
        </w:rPr>
        <w:t>月</w:t>
      </w:r>
      <w:r w:rsidR="00666C7A">
        <w:rPr>
          <w:rFonts w:hint="eastAsia"/>
          <w:b/>
          <w:color w:val="FF0000"/>
          <w:szCs w:val="28"/>
        </w:rPr>
        <w:t>20</w:t>
      </w:r>
      <w:r w:rsidRPr="00576F2A">
        <w:rPr>
          <w:rFonts w:hint="eastAsia"/>
          <w:b/>
          <w:color w:val="FF0000"/>
          <w:szCs w:val="28"/>
        </w:rPr>
        <w:t>日</w:t>
      </w:r>
      <w:r w:rsidR="00666C7A">
        <w:rPr>
          <w:rFonts w:hint="eastAsia"/>
          <w:b/>
          <w:color w:val="FF0000"/>
          <w:szCs w:val="28"/>
        </w:rPr>
        <w:t>下</w:t>
      </w:r>
      <w:r>
        <w:rPr>
          <w:rFonts w:hint="eastAsia"/>
          <w:b/>
          <w:color w:val="FF0000"/>
          <w:szCs w:val="28"/>
        </w:rPr>
        <w:t>午</w:t>
      </w:r>
      <w:r w:rsidR="00666C7A">
        <w:rPr>
          <w:rFonts w:hint="eastAsia"/>
          <w:b/>
          <w:color w:val="FF0000"/>
          <w:szCs w:val="28"/>
        </w:rPr>
        <w:t>3時30分</w:t>
      </w:r>
      <w:r w:rsidR="006E05B7">
        <w:rPr>
          <w:rFonts w:hAnsi="標楷體" w:hint="eastAsia"/>
          <w:b/>
          <w:color w:val="FF0000"/>
          <w:szCs w:val="28"/>
        </w:rPr>
        <w:t>。</w:t>
      </w:r>
      <w:bookmarkStart w:id="0" w:name="_GoBack"/>
      <w:bookmarkEnd w:id="0"/>
    </w:p>
    <w:p w:rsidR="00911BCA" w:rsidRDefault="00911BCA" w:rsidP="006E05B7">
      <w:pPr>
        <w:pStyle w:val="3"/>
        <w:tabs>
          <w:tab w:val="left" w:pos="540"/>
          <w:tab w:val="left" w:pos="720"/>
        </w:tabs>
        <w:snapToGrid w:val="0"/>
        <w:spacing w:line="540" w:lineRule="exact"/>
        <w:ind w:leftChars="700" w:left="1960" w:firstLineChars="0" w:firstLine="0"/>
        <w:rPr>
          <w:rFonts w:hAnsi="標楷體"/>
          <w:b/>
          <w:szCs w:val="28"/>
        </w:rPr>
      </w:pPr>
      <w:r w:rsidRPr="00576F2A">
        <w:rPr>
          <w:rFonts w:hAnsi="標楷體" w:hint="eastAsia"/>
          <w:b/>
          <w:color w:val="FF0000"/>
          <w:szCs w:val="28"/>
        </w:rPr>
        <w:t xml:space="preserve"> </w:t>
      </w:r>
      <w:r>
        <w:rPr>
          <w:rFonts w:hAnsi="標楷體" w:hint="eastAsia"/>
          <w:b/>
          <w:szCs w:val="28"/>
        </w:rPr>
        <w:t>□</w:t>
      </w:r>
      <w:r w:rsidRPr="00576F2A">
        <w:rPr>
          <w:rFonts w:hAnsi="標楷體" w:hint="eastAsia"/>
          <w:b/>
          <w:color w:val="FF0000"/>
          <w:szCs w:val="28"/>
        </w:rPr>
        <w:t xml:space="preserve"> </w:t>
      </w:r>
      <w:r w:rsidRPr="007D3A93">
        <w:rPr>
          <w:rFonts w:hAnsi="標楷體" w:hint="eastAsia"/>
          <w:b/>
          <w:szCs w:val="28"/>
        </w:rPr>
        <w:t>依機關通知</w:t>
      </w:r>
      <w:r>
        <w:rPr>
          <w:rFonts w:hAnsi="標楷體" w:hint="eastAsia"/>
          <w:b/>
          <w:szCs w:val="28"/>
        </w:rPr>
        <w:t>。</w:t>
      </w:r>
    </w:p>
    <w:p w:rsidR="00911BCA" w:rsidRPr="00576F2A" w:rsidRDefault="00911BCA" w:rsidP="00666C7A">
      <w:pPr>
        <w:pStyle w:val="3"/>
        <w:tabs>
          <w:tab w:val="left" w:pos="540"/>
          <w:tab w:val="left" w:pos="720"/>
        </w:tabs>
        <w:snapToGrid w:val="0"/>
        <w:spacing w:line="540" w:lineRule="exact"/>
        <w:ind w:leftChars="100" w:left="1681" w:hangingChars="500" w:hanging="1401"/>
        <w:rPr>
          <w:b/>
          <w:szCs w:val="28"/>
        </w:rPr>
      </w:pPr>
      <w:r>
        <w:rPr>
          <w:rFonts w:hint="eastAsia"/>
          <w:b/>
          <w:szCs w:val="28"/>
        </w:rPr>
        <w:t>評審</w:t>
      </w:r>
      <w:r w:rsidRPr="00576F2A">
        <w:rPr>
          <w:rFonts w:hint="eastAsia"/>
          <w:b/>
          <w:szCs w:val="28"/>
        </w:rPr>
        <w:t>地點：</w:t>
      </w:r>
      <w:r w:rsidR="00666C7A">
        <w:rPr>
          <w:rFonts w:hAnsi="標楷體" w:hint="eastAsia"/>
          <w:szCs w:val="28"/>
        </w:rPr>
        <w:t>訂於</w:t>
      </w:r>
      <w:r w:rsidR="00666C7A" w:rsidRPr="008F5767">
        <w:rPr>
          <w:rFonts w:hAnsi="標楷體" w:hint="eastAsia"/>
          <w:szCs w:val="28"/>
        </w:rPr>
        <w:t>10</w:t>
      </w:r>
      <w:r w:rsidR="00666C7A">
        <w:rPr>
          <w:rFonts w:hAnsi="標楷體" w:hint="eastAsia"/>
          <w:szCs w:val="28"/>
        </w:rPr>
        <w:t>7</w:t>
      </w:r>
      <w:r w:rsidR="00666C7A" w:rsidRPr="008F5767">
        <w:rPr>
          <w:rFonts w:hAnsi="標楷體" w:hint="eastAsia"/>
          <w:szCs w:val="28"/>
        </w:rPr>
        <w:t>年</w:t>
      </w:r>
      <w:r w:rsidR="00666C7A">
        <w:rPr>
          <w:rFonts w:hAnsi="標楷體" w:hint="eastAsia"/>
          <w:szCs w:val="28"/>
        </w:rPr>
        <w:t>12</w:t>
      </w:r>
      <w:r w:rsidR="00666C7A" w:rsidRPr="008F5767">
        <w:rPr>
          <w:rFonts w:hAnsi="標楷體" w:hint="eastAsia"/>
          <w:szCs w:val="28"/>
        </w:rPr>
        <w:t>月</w:t>
      </w:r>
      <w:r w:rsidR="00666C7A">
        <w:rPr>
          <w:rFonts w:hAnsi="標楷體" w:hint="eastAsia"/>
          <w:szCs w:val="28"/>
        </w:rPr>
        <w:t xml:space="preserve">20 </w:t>
      </w:r>
      <w:r w:rsidR="00666C7A" w:rsidRPr="008F5767">
        <w:rPr>
          <w:rFonts w:hAnsi="標楷體" w:hint="eastAsia"/>
          <w:szCs w:val="28"/>
        </w:rPr>
        <w:t>日(星期</w:t>
      </w:r>
      <w:r w:rsidR="00666C7A">
        <w:rPr>
          <w:rFonts w:hAnsi="標楷體" w:hint="eastAsia"/>
          <w:szCs w:val="28"/>
        </w:rPr>
        <w:t>四</w:t>
      </w:r>
      <w:r w:rsidR="00666C7A" w:rsidRPr="008F5767">
        <w:rPr>
          <w:rFonts w:hAnsi="標楷體" w:hint="eastAsia"/>
          <w:szCs w:val="28"/>
        </w:rPr>
        <w:t>)下午</w:t>
      </w:r>
      <w:r w:rsidR="00666C7A">
        <w:rPr>
          <w:rFonts w:hAnsi="標楷體" w:hint="eastAsia"/>
          <w:szCs w:val="28"/>
        </w:rPr>
        <w:t>3</w:t>
      </w:r>
      <w:r w:rsidR="00666C7A" w:rsidRPr="008F5767">
        <w:rPr>
          <w:rFonts w:hAnsi="標楷體" w:hint="eastAsia"/>
          <w:szCs w:val="28"/>
        </w:rPr>
        <w:t>時30</w:t>
      </w:r>
      <w:r w:rsidR="00666C7A">
        <w:rPr>
          <w:rFonts w:hAnsi="標楷體" w:hint="eastAsia"/>
          <w:szCs w:val="28"/>
        </w:rPr>
        <w:t>分於</w:t>
      </w:r>
      <w:r w:rsidR="00666C7A" w:rsidRPr="008F5767">
        <w:rPr>
          <w:rFonts w:hAnsi="標楷體" w:hint="eastAsia"/>
          <w:szCs w:val="28"/>
        </w:rPr>
        <w:t>屏東</w:t>
      </w:r>
      <w:r w:rsidR="00666C7A">
        <w:rPr>
          <w:rFonts w:hAnsi="標楷體" w:hint="eastAsia"/>
          <w:szCs w:val="28"/>
        </w:rPr>
        <w:t>地檢</w:t>
      </w:r>
      <w:r w:rsidR="00666C7A" w:rsidRPr="008F5767">
        <w:rPr>
          <w:rFonts w:hAnsi="標楷體" w:hint="eastAsia"/>
          <w:szCs w:val="28"/>
        </w:rPr>
        <w:t>署</w:t>
      </w:r>
      <w:r w:rsidR="00666C7A">
        <w:rPr>
          <w:rFonts w:hAnsi="標楷體" w:hint="eastAsia"/>
          <w:szCs w:val="28"/>
        </w:rPr>
        <w:t>第二辦公室一</w:t>
      </w:r>
      <w:r w:rsidR="00666C7A" w:rsidRPr="008F5767">
        <w:rPr>
          <w:rFonts w:hAnsi="標楷體" w:hint="eastAsia"/>
          <w:szCs w:val="28"/>
        </w:rPr>
        <w:t>樓</w:t>
      </w:r>
      <w:r w:rsidR="00666C7A">
        <w:rPr>
          <w:rFonts w:hAnsi="標楷體" w:hint="eastAsia"/>
          <w:szCs w:val="28"/>
        </w:rPr>
        <w:t>團體輔導</w:t>
      </w:r>
      <w:r w:rsidR="00666C7A" w:rsidRPr="008F5767">
        <w:rPr>
          <w:rFonts w:hAnsi="標楷體" w:hint="eastAsia"/>
          <w:szCs w:val="28"/>
        </w:rPr>
        <w:t>室</w:t>
      </w:r>
      <w:r w:rsidR="00666C7A">
        <w:rPr>
          <w:rFonts w:hAnsi="標楷體" w:hint="eastAsia"/>
          <w:szCs w:val="28"/>
        </w:rPr>
        <w:t>評選</w:t>
      </w:r>
      <w:r w:rsidR="00666C7A" w:rsidRPr="008F5767">
        <w:rPr>
          <w:rFonts w:hAnsi="標楷體" w:hint="eastAsia"/>
          <w:szCs w:val="28"/>
        </w:rPr>
        <w:t xml:space="preserve"> </w:t>
      </w:r>
      <w:r w:rsidR="00666C7A">
        <w:rPr>
          <w:rFonts w:hAnsi="標楷體" w:hint="eastAsia"/>
          <w:szCs w:val="28"/>
        </w:rPr>
        <w:t>(即中華電信公司屏東營業處內一樓)</w:t>
      </w:r>
      <w:r w:rsidR="00666C7A" w:rsidRPr="008F5767">
        <w:rPr>
          <w:rFonts w:hAnsi="標楷體" w:hint="eastAsia"/>
          <w:szCs w:val="28"/>
        </w:rPr>
        <w:t xml:space="preserve">              </w:t>
      </w:r>
      <w:r w:rsidR="00666C7A" w:rsidRPr="00576F2A">
        <w:rPr>
          <w:b/>
          <w:szCs w:val="28"/>
        </w:rPr>
        <w:t xml:space="preserve"> </w:t>
      </w:r>
    </w:p>
    <w:p w:rsidR="00911BCA" w:rsidRDefault="00911BCA" w:rsidP="00911BCA">
      <w:pPr>
        <w:spacing w:line="420" w:lineRule="exact"/>
        <w:rPr>
          <w:rFonts w:hAnsi="標楷體"/>
          <w:sz w:val="36"/>
        </w:rPr>
      </w:pPr>
    </w:p>
    <w:p w:rsidR="00911BCA" w:rsidRDefault="00911BCA" w:rsidP="00911BCA">
      <w:pPr>
        <w:numPr>
          <w:ilvl w:val="0"/>
          <w:numId w:val="1"/>
        </w:numPr>
        <w:spacing w:line="420" w:lineRule="exact"/>
        <w:ind w:left="856" w:hanging="584"/>
        <w:rPr>
          <w:rFonts w:ascii="標楷體"/>
        </w:rPr>
      </w:pPr>
      <w:r>
        <w:rPr>
          <w:rFonts w:ascii="標楷體" w:hint="eastAsia"/>
        </w:rPr>
        <w:t>本委託案：</w:t>
      </w:r>
      <w:r>
        <w:rPr>
          <w:rFonts w:ascii="標楷體" w:hint="eastAsia"/>
          <w:color w:val="FF0000"/>
        </w:rPr>
        <w:t>（由機關擇一填列）</w:t>
      </w:r>
    </w:p>
    <w:p w:rsidR="00911BCA" w:rsidRDefault="00911BCA" w:rsidP="00911BCA">
      <w:pPr>
        <w:pStyle w:val="3"/>
      </w:pPr>
      <w:r>
        <w:rPr>
          <w:rFonts w:hint="eastAsia"/>
        </w:rPr>
        <w:sym w:font="Wingdings" w:char="F0FE"/>
      </w:r>
      <w:r>
        <w:rPr>
          <w:rFonts w:hint="eastAsia"/>
        </w:rPr>
        <w:t>由本機關依「採購評選委員會組織準則」，成立評選委員會，並依「採購評選委員會審議規則」及「機關委託專業服務廠商評選及計費辦法」辦理評選。</w:t>
      </w:r>
      <w:proofErr w:type="gramStart"/>
      <w:r>
        <w:rPr>
          <w:rFonts w:hint="eastAsia"/>
          <w:color w:val="FF0000"/>
        </w:rPr>
        <w:t>（註</w:t>
      </w:r>
      <w:proofErr w:type="gramEnd"/>
      <w:r>
        <w:rPr>
          <w:rFonts w:hint="eastAsia"/>
          <w:color w:val="FF0000"/>
        </w:rPr>
        <w:t>：適用於依採購法第22條第1項第9款辦理者</w:t>
      </w:r>
      <w:proofErr w:type="gramStart"/>
      <w:r>
        <w:rPr>
          <w:rFonts w:hint="eastAsia"/>
          <w:color w:val="FF0000"/>
        </w:rPr>
        <w:t>）</w:t>
      </w:r>
      <w:proofErr w:type="gramEnd"/>
    </w:p>
    <w:p w:rsidR="00911BCA" w:rsidRDefault="00911BCA" w:rsidP="00911BCA">
      <w:pPr>
        <w:pStyle w:val="3"/>
        <w:numPr>
          <w:ilvl w:val="0"/>
          <w:numId w:val="3"/>
        </w:numPr>
        <w:ind w:leftChars="0" w:firstLineChars="0"/>
        <w:rPr>
          <w:color w:val="FF0000"/>
        </w:rPr>
      </w:pPr>
      <w:r>
        <w:rPr>
          <w:rFonts w:hint="eastAsia"/>
        </w:rPr>
        <w:t>由本機關人員組成評審小組，依最有利標之精神，擇定最符合需要之廠商進行議價。</w:t>
      </w:r>
      <w:proofErr w:type="gramStart"/>
      <w:r>
        <w:rPr>
          <w:rFonts w:hint="eastAsia"/>
          <w:color w:val="FF0000"/>
        </w:rPr>
        <w:t>（註</w:t>
      </w:r>
      <w:proofErr w:type="gramEnd"/>
      <w:r>
        <w:rPr>
          <w:rFonts w:hint="eastAsia"/>
          <w:color w:val="FF0000"/>
        </w:rPr>
        <w:t>：適用於中央機關未達公告金額採購招標辦法第2條第1項第3款辦理者</w:t>
      </w:r>
      <w:proofErr w:type="gramStart"/>
      <w:r>
        <w:rPr>
          <w:rFonts w:hint="eastAsia"/>
          <w:color w:val="FF0000"/>
        </w:rPr>
        <w:t>）</w:t>
      </w:r>
      <w:proofErr w:type="gramEnd"/>
    </w:p>
    <w:p w:rsidR="00911BCA" w:rsidRDefault="00911BCA" w:rsidP="00911BCA">
      <w:pPr>
        <w:pStyle w:val="3"/>
        <w:ind w:leftChars="0" w:left="705" w:firstLineChars="0" w:firstLine="0"/>
      </w:pPr>
    </w:p>
    <w:p w:rsidR="00911BCA" w:rsidRDefault="00911BCA" w:rsidP="00911BCA">
      <w:pPr>
        <w:numPr>
          <w:ilvl w:val="0"/>
          <w:numId w:val="1"/>
        </w:numPr>
        <w:snapToGrid w:val="0"/>
        <w:spacing w:line="300" w:lineRule="auto"/>
        <w:rPr>
          <w:rFonts w:ascii="標楷體"/>
        </w:rPr>
      </w:pPr>
      <w:r>
        <w:rPr>
          <w:rFonts w:ascii="標楷體" w:hint="eastAsia"/>
        </w:rPr>
        <w:t>評選作業流程：</w:t>
      </w:r>
    </w:p>
    <w:p w:rsidR="00911BCA" w:rsidRDefault="00911BCA" w:rsidP="00911BCA">
      <w:pPr>
        <w:snapToGrid w:val="0"/>
        <w:spacing w:after="120" w:line="300" w:lineRule="auto"/>
        <w:ind w:left="680" w:firstLine="680"/>
        <w:rPr>
          <w:rFonts w:ascii="標楷體"/>
        </w:rPr>
      </w:pPr>
      <w:r>
        <w:rPr>
          <w:rFonts w:ascii="標楷體" w:hint="eastAsia"/>
        </w:rPr>
        <w:t xml:space="preserve">符合本委託案資格及其他招標規定之應徵廠商，於本機關通知評選之時間、地點進行評選，其程序如下： </w:t>
      </w:r>
    </w:p>
    <w:p w:rsidR="00911BCA" w:rsidRDefault="00911BCA" w:rsidP="00911BCA">
      <w:pPr>
        <w:numPr>
          <w:ilvl w:val="0"/>
          <w:numId w:val="2"/>
        </w:numPr>
        <w:tabs>
          <w:tab w:val="left" w:pos="6360"/>
        </w:tabs>
        <w:snapToGrid w:val="0"/>
        <w:spacing w:line="420" w:lineRule="exact"/>
        <w:ind w:right="68"/>
        <w:rPr>
          <w:rFonts w:ascii="標楷體"/>
        </w:rPr>
      </w:pPr>
      <w:r>
        <w:rPr>
          <w:rFonts w:ascii="標楷體" w:hint="eastAsia"/>
        </w:rPr>
        <w:t>由計畫主持人提出1</w:t>
      </w:r>
      <w:r w:rsidR="00666C7A">
        <w:rPr>
          <w:rFonts w:ascii="標楷體" w:hint="eastAsia"/>
        </w:rPr>
        <w:t>0</w:t>
      </w:r>
      <w:r>
        <w:rPr>
          <w:rFonts w:ascii="標楷體" w:hint="eastAsia"/>
        </w:rPr>
        <w:t>分鐘簡報，結束後進行10分鐘問題詢答。</w:t>
      </w:r>
    </w:p>
    <w:p w:rsidR="00911BCA" w:rsidRPr="0023122C" w:rsidRDefault="00911BCA" w:rsidP="00911BCA">
      <w:pPr>
        <w:numPr>
          <w:ilvl w:val="0"/>
          <w:numId w:val="2"/>
        </w:numPr>
        <w:tabs>
          <w:tab w:val="left" w:pos="6360"/>
        </w:tabs>
        <w:snapToGrid w:val="0"/>
        <w:spacing w:line="420" w:lineRule="exact"/>
        <w:ind w:right="68"/>
        <w:rPr>
          <w:rFonts w:ascii="標楷體"/>
        </w:rPr>
      </w:pPr>
      <w:r>
        <w:rPr>
          <w:rFonts w:ascii="標楷體" w:hint="eastAsia"/>
        </w:rPr>
        <w:t>由評選委員會依招標文件規定之評審標準，就各評選項目辦理綜合評選，選定優勝廠商。</w:t>
      </w:r>
    </w:p>
    <w:p w:rsidR="00911BCA" w:rsidRDefault="00911BCA" w:rsidP="00911BCA">
      <w:pPr>
        <w:tabs>
          <w:tab w:val="left" w:pos="6360"/>
        </w:tabs>
        <w:snapToGrid w:val="0"/>
        <w:spacing w:line="420" w:lineRule="exact"/>
        <w:ind w:left="680" w:right="68"/>
        <w:rPr>
          <w:rFonts w:ascii="標楷體"/>
        </w:rPr>
      </w:pPr>
    </w:p>
    <w:p w:rsidR="00545A64" w:rsidRPr="00545A64" w:rsidRDefault="00545A64" w:rsidP="006E05B7">
      <w:pPr>
        <w:tabs>
          <w:tab w:val="left" w:pos="6360"/>
        </w:tabs>
        <w:snapToGrid w:val="0"/>
        <w:spacing w:line="420" w:lineRule="exact"/>
        <w:ind w:right="68"/>
        <w:rPr>
          <w:rFonts w:ascii="標楷體"/>
        </w:rPr>
      </w:pPr>
    </w:p>
    <w:p w:rsidR="00911BCA" w:rsidRDefault="00911BCA" w:rsidP="00911BCA">
      <w:pPr>
        <w:numPr>
          <w:ilvl w:val="0"/>
          <w:numId w:val="1"/>
        </w:numPr>
        <w:rPr>
          <w:rFonts w:ascii="標楷體"/>
        </w:rPr>
      </w:pPr>
      <w:r>
        <w:rPr>
          <w:rFonts w:ascii="標楷體" w:hint="eastAsia"/>
        </w:rPr>
        <w:lastRenderedPageBreak/>
        <w:t>評選項目、配</w:t>
      </w:r>
      <w:proofErr w:type="gramStart"/>
      <w:r>
        <w:rPr>
          <w:rFonts w:ascii="標楷體" w:hint="eastAsia"/>
        </w:rPr>
        <w:t>分或權重</w:t>
      </w:r>
      <w:proofErr w:type="gramEnd"/>
      <w:r>
        <w:rPr>
          <w:rFonts w:ascii="標楷體" w:hint="eastAsia"/>
        </w:rPr>
        <w:t xml:space="preserve">： </w:t>
      </w:r>
    </w:p>
    <w:tbl>
      <w:tblPr>
        <w:tblW w:w="87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960"/>
        <w:gridCol w:w="840"/>
        <w:gridCol w:w="840"/>
        <w:gridCol w:w="960"/>
        <w:gridCol w:w="856"/>
      </w:tblGrid>
      <w:tr w:rsidR="00911BCA" w:rsidRPr="0023122C" w:rsidTr="00991D46">
        <w:trPr>
          <w:trHeight w:val="542"/>
        </w:trPr>
        <w:tc>
          <w:tcPr>
            <w:tcW w:w="132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before="50" w:line="340" w:lineRule="exact"/>
              <w:jc w:val="distribute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評選</w:t>
            </w:r>
          </w:p>
          <w:p w:rsidR="00911BCA" w:rsidRPr="0023122C" w:rsidRDefault="00911BCA" w:rsidP="00991D46">
            <w:pPr>
              <w:adjustRightInd w:val="0"/>
              <w:spacing w:before="50" w:line="340" w:lineRule="exact"/>
              <w:jc w:val="distribute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項目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911BCA" w:rsidRPr="0023122C" w:rsidRDefault="00911BCA" w:rsidP="00991D46">
            <w:pPr>
              <w:tabs>
                <w:tab w:val="left" w:pos="116"/>
              </w:tabs>
              <w:adjustRightInd w:val="0"/>
              <w:spacing w:before="50" w:line="340" w:lineRule="exact"/>
              <w:jc w:val="center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評選細項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before="50" w:line="340" w:lineRule="exact"/>
              <w:jc w:val="center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細項評分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before="50" w:line="340" w:lineRule="exact"/>
              <w:ind w:leftChars="-45" w:left="-126" w:rightChars="-45" w:right="-126" w:firstLineChars="41" w:firstLine="115"/>
              <w:jc w:val="center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單項</w:t>
            </w:r>
          </w:p>
          <w:p w:rsidR="00911BCA" w:rsidRPr="0023122C" w:rsidRDefault="00911BCA" w:rsidP="00911BCA">
            <w:pPr>
              <w:adjustRightInd w:val="0"/>
              <w:spacing w:before="50" w:line="340" w:lineRule="exact"/>
              <w:ind w:leftChars="-45" w:left="-126" w:rightChars="-45" w:right="-126" w:firstLineChars="41" w:firstLine="115"/>
              <w:jc w:val="center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總評分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before="50" w:line="340" w:lineRule="exact"/>
              <w:ind w:leftChars="-45" w:left="-126" w:rightChars="-88" w:right="-246" w:firstLineChars="41" w:firstLine="115"/>
              <w:jc w:val="center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總分</w:t>
            </w:r>
            <w:r w:rsidRPr="0023122C">
              <w:rPr>
                <w:rFonts w:ascii="標楷體" w:hAnsi="標楷體" w:hint="eastAsia"/>
                <w:color w:val="000000"/>
                <w:spacing w:val="-20"/>
                <w:kern w:val="0"/>
                <w:szCs w:val="28"/>
              </w:rPr>
              <w:t>（</w:t>
            </w:r>
            <w:r w:rsidRPr="0023122C">
              <w:rPr>
                <w:rFonts w:ascii="標楷體" w:hAnsi="標楷體"/>
                <w:color w:val="000000"/>
                <w:spacing w:val="-20"/>
                <w:kern w:val="0"/>
                <w:szCs w:val="28"/>
              </w:rPr>
              <w:t>序位</w:t>
            </w:r>
            <w:r w:rsidRPr="0023122C">
              <w:rPr>
                <w:rFonts w:ascii="標楷體" w:hAnsi="標楷體" w:hint="eastAsia"/>
                <w:color w:val="000000"/>
                <w:spacing w:val="-20"/>
                <w:kern w:val="0"/>
                <w:szCs w:val="28"/>
              </w:rPr>
              <w:t>）</w:t>
            </w:r>
          </w:p>
        </w:tc>
      </w:tr>
      <w:tr w:rsidR="00911BCA" w:rsidRPr="0023122C" w:rsidTr="00991D46">
        <w:trPr>
          <w:trHeight w:val="814"/>
        </w:trPr>
        <w:tc>
          <w:tcPr>
            <w:tcW w:w="132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before="50" w:line="340" w:lineRule="exact"/>
              <w:jc w:val="distribute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財務</w:t>
            </w:r>
          </w:p>
          <w:p w:rsidR="00911BCA" w:rsidRPr="0023122C" w:rsidRDefault="00911BCA" w:rsidP="00991D46">
            <w:pPr>
              <w:adjustRightInd w:val="0"/>
              <w:spacing w:before="50" w:line="340" w:lineRule="exact"/>
              <w:jc w:val="distribute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計畫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91D46">
            <w:pPr>
              <w:tabs>
                <w:tab w:val="left" w:pos="116"/>
              </w:tabs>
              <w:adjustRightInd w:val="0"/>
              <w:spacing w:before="50" w:line="340" w:lineRule="exac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資金籌措計畫、財務狀況、服務費用概估及配置等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tabs>
                <w:tab w:val="left" w:pos="116"/>
              </w:tabs>
              <w:adjustRightInd w:val="0"/>
              <w:spacing w:before="50"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20分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  <w:tr w:rsidR="00911BCA" w:rsidRPr="0023122C" w:rsidTr="00991D46">
        <w:trPr>
          <w:trHeight w:val="983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before="50" w:line="340" w:lineRule="exact"/>
              <w:ind w:leftChars="-95" w:left="-22" w:rightChars="-45" w:right="-126" w:hangingChars="87" w:hanging="244"/>
              <w:jc w:val="center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組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 xml:space="preserve"> 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織</w:t>
            </w:r>
          </w:p>
          <w:p w:rsidR="00911BCA" w:rsidRPr="0023122C" w:rsidRDefault="00911BCA" w:rsidP="00911BCA">
            <w:pPr>
              <w:adjustRightInd w:val="0"/>
              <w:spacing w:before="50" w:line="340" w:lineRule="exact"/>
              <w:ind w:leftChars="-37" w:rightChars="-45" w:right="-126" w:hangingChars="37" w:hanging="104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健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 xml:space="preserve"> 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全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 xml:space="preserve"> 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性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afterLines="50" w:after="180" w:line="340" w:lineRule="exac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會務：</w:t>
            </w:r>
          </w:p>
          <w:p w:rsidR="00911BCA" w:rsidRPr="0023122C" w:rsidRDefault="00911BCA" w:rsidP="00911BCA">
            <w:pPr>
              <w:adjustRightInd w:val="0"/>
              <w:spacing w:afterLines="50" w:after="180" w:line="340" w:lineRule="exac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會員組織章程、工作細則、會議等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before="50"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8分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  <w:tr w:rsidR="00911BCA" w:rsidRPr="0023122C" w:rsidTr="00991D46">
        <w:trPr>
          <w:trHeight w:val="860"/>
        </w:trPr>
        <w:tc>
          <w:tcPr>
            <w:tcW w:w="132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line="340" w:lineRule="exact"/>
              <w:ind w:left="840" w:hangingChars="300" w:hanging="840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業務：</w:t>
            </w:r>
          </w:p>
          <w:p w:rsidR="00911BCA" w:rsidRPr="0023122C" w:rsidRDefault="00911BCA" w:rsidP="00911BCA">
            <w:pPr>
              <w:adjustRightInd w:val="0"/>
              <w:spacing w:line="340" w:lineRule="exact"/>
              <w:ind w:left="11" w:hangingChars="4" w:hanging="11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過去實務績效--過去實務紀錄、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相片、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經驗、實績、法令之遵守、如期履約效率等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8分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  <w:tr w:rsidR="00911BCA" w:rsidRPr="0023122C" w:rsidTr="00991D46">
        <w:trPr>
          <w:trHeight w:val="860"/>
        </w:trPr>
        <w:tc>
          <w:tcPr>
            <w:tcW w:w="132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人事：</w:t>
            </w:r>
          </w:p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理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監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事、董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監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事、現職人員等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4分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  <w:tr w:rsidR="00911BCA" w:rsidRPr="0023122C" w:rsidTr="00991D46">
        <w:trPr>
          <w:trHeight w:val="860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before="50" w:line="340" w:lineRule="exact"/>
              <w:jc w:val="distribute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專業性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before="50" w:line="340" w:lineRule="exact"/>
              <w:ind w:leftChars="1" w:left="843" w:hangingChars="300" w:hanging="840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技術：</w:t>
            </w:r>
          </w:p>
          <w:p w:rsidR="00911BCA" w:rsidRPr="0023122C" w:rsidRDefault="00911BCA" w:rsidP="00911BCA">
            <w:pPr>
              <w:adjustRightInd w:val="0"/>
              <w:spacing w:before="50" w:line="340" w:lineRule="exact"/>
              <w:ind w:left="8" w:hangingChars="3" w:hanging="8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計畫執行之能力--含專業人力、經驗或實績，計畫執行方式、工作方法之可行性及有效性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before="50"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15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  <w:tr w:rsidR="00911BCA" w:rsidRPr="0023122C" w:rsidTr="00991D46">
        <w:trPr>
          <w:trHeight w:val="860"/>
        </w:trPr>
        <w:tc>
          <w:tcPr>
            <w:tcW w:w="1320" w:type="dxa"/>
            <w:vMerge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line="340" w:lineRule="exact"/>
              <w:ind w:left="1400" w:hangingChars="500" w:hanging="1400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督導管理：</w:t>
            </w:r>
          </w:p>
          <w:p w:rsidR="00911BCA" w:rsidRPr="0023122C" w:rsidRDefault="00911BCA" w:rsidP="00991D46">
            <w:pPr>
              <w:adjustRightInd w:val="0"/>
              <w:spacing w:line="340" w:lineRule="exact"/>
              <w:ind w:left="2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督導工作之執行能力及程度、工作人員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之管理、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訓練及福利制度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1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0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  <w:tr w:rsidR="00911BCA" w:rsidRPr="0023122C" w:rsidTr="00991D46">
        <w:trPr>
          <w:trHeight w:val="860"/>
        </w:trPr>
        <w:tc>
          <w:tcPr>
            <w:tcW w:w="1320" w:type="dxa"/>
            <w:vMerge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運用專業人員及志願服務人員情形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1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0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  <w:tr w:rsidR="00911BCA" w:rsidRPr="0023122C" w:rsidTr="00991D46">
        <w:trPr>
          <w:trHeight w:val="448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before="50" w:line="340" w:lineRule="exact"/>
              <w:ind w:leftChars="3" w:left="8" w:rightChars="-45" w:right="-126" w:firstLineChars="50" w:firstLine="140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計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 xml:space="preserve"> 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畫</w:t>
            </w:r>
          </w:p>
          <w:p w:rsidR="00911BCA" w:rsidRPr="0023122C" w:rsidRDefault="00911BCA" w:rsidP="00911BCA">
            <w:pPr>
              <w:adjustRightInd w:val="0"/>
              <w:spacing w:before="50" w:line="340" w:lineRule="exact"/>
              <w:ind w:leftChars="-45" w:left="-11" w:rightChars="-45" w:right="-126" w:hangingChars="41" w:hanging="115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效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 xml:space="preserve"> 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益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 xml:space="preserve"> 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性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before="50" w:afterLines="50" w:after="180" w:line="340" w:lineRule="exac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對服務對象之權益維護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before="50"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5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  <w:tr w:rsidR="00911BCA" w:rsidRPr="0023122C" w:rsidTr="00991D46">
        <w:trPr>
          <w:trHeight w:val="1135"/>
        </w:trPr>
        <w:tc>
          <w:tcPr>
            <w:tcW w:w="132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afterLines="50" w:after="180" w:line="340" w:lineRule="exact"/>
              <w:ind w:left="2380" w:hangingChars="850" w:hanging="2380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資源結合運用情形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：</w:t>
            </w:r>
          </w:p>
          <w:p w:rsidR="00911BCA" w:rsidRPr="0023122C" w:rsidRDefault="00911BCA" w:rsidP="00911BCA">
            <w:pPr>
              <w:adjustRightInd w:val="0"/>
              <w:spacing w:afterLines="50" w:after="180" w:line="340" w:lineRule="exact"/>
              <w:ind w:left="11" w:hangingChars="4" w:hanging="11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福利資源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結合運用及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妥善分配、方案是否符合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服務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需求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8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  <w:tr w:rsidR="00911BCA" w:rsidRPr="0023122C" w:rsidTr="00991D46">
        <w:trPr>
          <w:trHeight w:val="467"/>
        </w:trPr>
        <w:tc>
          <w:tcPr>
            <w:tcW w:w="132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911BCA" w:rsidRPr="0023122C" w:rsidRDefault="00911BCA" w:rsidP="00911BCA">
            <w:pPr>
              <w:adjustRightInd w:val="0"/>
              <w:spacing w:afterLines="50" w:after="180" w:line="340" w:lineRule="exact"/>
              <w:ind w:left="1400" w:hangingChars="500" w:hanging="1400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服務效益：</w:t>
            </w:r>
          </w:p>
          <w:p w:rsidR="00911BCA" w:rsidRPr="0023122C" w:rsidRDefault="00911BCA" w:rsidP="00911BCA">
            <w:pPr>
              <w:adjustRightInd w:val="0"/>
              <w:spacing w:afterLines="50" w:after="180" w:line="340" w:lineRule="exact"/>
              <w:ind w:left="11" w:hangingChars="4" w:hanging="11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計畫書之完整性及可行性、發展性、預期效益及對服務事項之瞭解程度</w:t>
            </w: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11BCA" w:rsidRPr="0023122C" w:rsidRDefault="00911BCA" w:rsidP="00991D46">
            <w:pPr>
              <w:adjustRightInd w:val="0"/>
              <w:spacing w:line="340" w:lineRule="exact"/>
              <w:jc w:val="righ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23122C">
              <w:rPr>
                <w:rFonts w:ascii="標楷體" w:hAnsi="標楷體" w:hint="eastAsia"/>
                <w:color w:val="000000"/>
                <w:kern w:val="0"/>
                <w:szCs w:val="28"/>
              </w:rPr>
              <w:t>12</w:t>
            </w:r>
            <w:r w:rsidRPr="0023122C">
              <w:rPr>
                <w:rFonts w:ascii="標楷體" w:hAnsi="標楷體"/>
                <w:color w:val="000000"/>
                <w:kern w:val="0"/>
                <w:szCs w:val="28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11BCA" w:rsidRPr="0023122C" w:rsidRDefault="00911BCA" w:rsidP="00991D46">
            <w:pPr>
              <w:adjustRightInd w:val="0"/>
              <w:spacing w:line="340" w:lineRule="exact"/>
              <w:jc w:val="left"/>
              <w:textAlignment w:val="baseline"/>
              <w:rPr>
                <w:rFonts w:ascii="標楷體" w:hAnsi="標楷體"/>
                <w:color w:val="000000"/>
                <w:kern w:val="0"/>
                <w:szCs w:val="28"/>
              </w:rPr>
            </w:pPr>
          </w:p>
        </w:tc>
      </w:tr>
    </w:tbl>
    <w:p w:rsidR="00911BCA" w:rsidRDefault="00911BCA" w:rsidP="00911BCA">
      <w:pPr>
        <w:tabs>
          <w:tab w:val="left" w:pos="6360"/>
          <w:tab w:val="left" w:pos="7740"/>
        </w:tabs>
        <w:snapToGrid w:val="0"/>
        <w:spacing w:line="420" w:lineRule="exact"/>
        <w:ind w:left="680" w:right="68"/>
        <w:rPr>
          <w:rFonts w:ascii="標楷體"/>
          <w:b/>
          <w:shd w:val="pct15" w:color="auto" w:fill="FFFFFF"/>
        </w:rPr>
      </w:pPr>
    </w:p>
    <w:p w:rsidR="00911BCA" w:rsidRDefault="00911BCA" w:rsidP="00911BCA">
      <w:pPr>
        <w:numPr>
          <w:ilvl w:val="0"/>
          <w:numId w:val="1"/>
        </w:numPr>
        <w:rPr>
          <w:rFonts w:ascii="標楷體"/>
        </w:rPr>
      </w:pPr>
      <w:r>
        <w:rPr>
          <w:rFonts w:ascii="標楷體" w:hint="eastAsia"/>
        </w:rPr>
        <w:t xml:space="preserve">優勝廠商評定方法： </w:t>
      </w:r>
    </w:p>
    <w:p w:rsidR="00911BCA" w:rsidRPr="001440FB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="855" w:right="68"/>
      </w:pPr>
      <w:r w:rsidRPr="007A6588">
        <w:rPr>
          <w:rFonts w:ascii="標楷體" w:hAnsi="標楷體"/>
        </w:rPr>
        <w:sym w:font="Wingdings 2" w:char="F052"/>
      </w:r>
      <w:r w:rsidRPr="001440FB">
        <w:rPr>
          <w:rFonts w:hAnsi="標楷體"/>
        </w:rPr>
        <w:t>序位法</w:t>
      </w:r>
    </w:p>
    <w:p w:rsidR="00911BCA" w:rsidRPr="001440FB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</w:pPr>
      <w:r w:rsidRPr="001440FB">
        <w:rPr>
          <w:rFonts w:hAnsi="標楷體"/>
        </w:rPr>
        <w:t>（一）由工作小組提出初審意見，評審委員就初審意見、廠商資料、評審項目逐項討論後，由各評審委員</w:t>
      </w:r>
      <w:proofErr w:type="gramStart"/>
      <w:r w:rsidRPr="001440FB">
        <w:rPr>
          <w:rFonts w:hAnsi="標楷體"/>
        </w:rPr>
        <w:t>辦理序</w:t>
      </w:r>
      <w:proofErr w:type="gramEnd"/>
      <w:r w:rsidRPr="001440FB">
        <w:rPr>
          <w:rFonts w:hAnsi="標楷體"/>
        </w:rPr>
        <w:t>位評比，就個別廠商各評審項目</w:t>
      </w:r>
      <w:proofErr w:type="gramStart"/>
      <w:r w:rsidRPr="001440FB">
        <w:rPr>
          <w:rFonts w:hAnsi="標楷體"/>
        </w:rPr>
        <w:t>及子項分別</w:t>
      </w:r>
      <w:proofErr w:type="gramEnd"/>
      <w:r w:rsidRPr="001440FB">
        <w:rPr>
          <w:rFonts w:hAnsi="標楷體"/>
        </w:rPr>
        <w:t>評分後予以加總，並依加總分數高低</w:t>
      </w:r>
      <w:proofErr w:type="gramStart"/>
      <w:r w:rsidRPr="001440FB">
        <w:rPr>
          <w:rFonts w:hAnsi="標楷體"/>
        </w:rPr>
        <w:t>轉換為序位</w:t>
      </w:r>
      <w:proofErr w:type="gramEnd"/>
      <w:r w:rsidRPr="001440FB">
        <w:rPr>
          <w:rFonts w:hAnsi="標楷體"/>
        </w:rPr>
        <w:t>。個別廠商之平均總評分（計算至小數點以下二位數，小數點以下第三位四捨五入），未達</w:t>
      </w:r>
      <w:r>
        <w:rPr>
          <w:rFonts w:hint="eastAsia"/>
        </w:rPr>
        <w:t>7</w:t>
      </w:r>
      <w:r>
        <w:t>0</w:t>
      </w:r>
      <w:r>
        <w:t>分</w:t>
      </w:r>
      <w:r w:rsidRPr="001440FB">
        <w:rPr>
          <w:rFonts w:hAnsi="標楷體"/>
        </w:rPr>
        <w:t>者不得列為協商及議價對象。若所有廠商平均總評</w:t>
      </w:r>
      <w:proofErr w:type="gramStart"/>
      <w:r w:rsidRPr="001440FB">
        <w:rPr>
          <w:rFonts w:hAnsi="標楷體"/>
        </w:rPr>
        <w:t>分均未達</w:t>
      </w:r>
      <w:proofErr w:type="gramEnd"/>
      <w:r>
        <w:rPr>
          <w:rFonts w:hint="eastAsia"/>
        </w:rPr>
        <w:t>7</w:t>
      </w:r>
      <w:r>
        <w:t>0</w:t>
      </w:r>
      <w:r>
        <w:t>分</w:t>
      </w:r>
      <w:r w:rsidRPr="001440FB">
        <w:rPr>
          <w:rFonts w:hAnsi="標楷體"/>
        </w:rPr>
        <w:t>時，則符合需要廠商</w:t>
      </w:r>
      <w:proofErr w:type="gramStart"/>
      <w:r w:rsidRPr="001440FB">
        <w:rPr>
          <w:rFonts w:hAnsi="標楷體"/>
        </w:rPr>
        <w:t>從缺並廢標</w:t>
      </w:r>
      <w:proofErr w:type="gramEnd"/>
      <w:r w:rsidRPr="001440FB">
        <w:rPr>
          <w:rFonts w:hAnsi="標楷體"/>
        </w:rPr>
        <w:t>。</w:t>
      </w: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  <w:r w:rsidRPr="001440FB">
        <w:rPr>
          <w:rFonts w:hAnsi="標楷體"/>
        </w:rPr>
        <w:t>（二）評審委員於各評審項目</w:t>
      </w:r>
      <w:proofErr w:type="gramStart"/>
      <w:r w:rsidRPr="001440FB">
        <w:rPr>
          <w:rFonts w:hAnsi="標楷體"/>
        </w:rPr>
        <w:t>及子項之</w:t>
      </w:r>
      <w:proofErr w:type="gramEnd"/>
      <w:r w:rsidRPr="001440FB">
        <w:rPr>
          <w:rFonts w:hAnsi="標楷體"/>
        </w:rPr>
        <w:t>評分加總</w:t>
      </w:r>
      <w:proofErr w:type="gramStart"/>
      <w:r w:rsidRPr="001440FB">
        <w:rPr>
          <w:rFonts w:hAnsi="標楷體"/>
        </w:rPr>
        <w:t>轉換為序位</w:t>
      </w:r>
      <w:proofErr w:type="gramEnd"/>
      <w:r w:rsidRPr="001440FB">
        <w:rPr>
          <w:rFonts w:hAnsi="標楷體"/>
        </w:rPr>
        <w:t>後，彙整合計各</w:t>
      </w:r>
      <w:proofErr w:type="gramStart"/>
      <w:r w:rsidRPr="001440FB">
        <w:rPr>
          <w:rFonts w:hAnsi="標楷體"/>
        </w:rPr>
        <w:t>廠商之序位</w:t>
      </w:r>
      <w:proofErr w:type="gramEnd"/>
      <w:r w:rsidRPr="001440FB">
        <w:rPr>
          <w:rFonts w:hAnsi="標楷體"/>
        </w:rPr>
        <w:t>，以平均總評分在</w:t>
      </w:r>
      <w:r>
        <w:rPr>
          <w:rFonts w:hint="eastAsia"/>
        </w:rPr>
        <w:t>7</w:t>
      </w:r>
      <w:r>
        <w:t>0</w:t>
      </w:r>
      <w:r>
        <w:t>分</w:t>
      </w:r>
      <w:proofErr w:type="gramStart"/>
      <w:r w:rsidRPr="001440FB">
        <w:rPr>
          <w:rFonts w:hAnsi="標楷體"/>
        </w:rPr>
        <w:t>以上之序位</w:t>
      </w:r>
      <w:proofErr w:type="gramEnd"/>
      <w:r w:rsidRPr="001440FB">
        <w:rPr>
          <w:rFonts w:hAnsi="標楷體"/>
        </w:rPr>
        <w:t>合計值最低廠商為第</w:t>
      </w:r>
      <w:r w:rsidRPr="001440FB">
        <w:t>1</w:t>
      </w:r>
      <w:r w:rsidRPr="001440FB">
        <w:rPr>
          <w:rFonts w:hAnsi="標楷體"/>
        </w:rPr>
        <w:t>名，如其標價合理，無浪費公</w:t>
      </w:r>
      <w:proofErr w:type="gramStart"/>
      <w:r w:rsidRPr="001440FB">
        <w:rPr>
          <w:rFonts w:hAnsi="標楷體"/>
        </w:rPr>
        <w:t>帑</w:t>
      </w:r>
      <w:proofErr w:type="gramEnd"/>
      <w:r w:rsidRPr="001440FB">
        <w:rPr>
          <w:rFonts w:hAnsi="標楷體"/>
        </w:rPr>
        <w:t>情形，無待協商項目，且經出席評審委員過半數之決定者為符合需要廠商。平均總評分在</w:t>
      </w:r>
      <w:r>
        <w:rPr>
          <w:rFonts w:hint="eastAsia"/>
        </w:rPr>
        <w:t>7</w:t>
      </w:r>
      <w:r>
        <w:t>0</w:t>
      </w:r>
      <w:r>
        <w:t>分</w:t>
      </w:r>
      <w:r w:rsidRPr="001440FB">
        <w:rPr>
          <w:rFonts w:hAnsi="標楷體"/>
        </w:rPr>
        <w:t>以上之第</w:t>
      </w:r>
      <w:r w:rsidRPr="001440FB">
        <w:t>2</w:t>
      </w:r>
      <w:r w:rsidRPr="001440FB">
        <w:rPr>
          <w:rFonts w:hAnsi="標楷體"/>
        </w:rPr>
        <w:t>名以後廠商，如其標價合理，無浪費公</w:t>
      </w:r>
      <w:proofErr w:type="gramStart"/>
      <w:r w:rsidRPr="001440FB">
        <w:rPr>
          <w:rFonts w:hAnsi="標楷體"/>
        </w:rPr>
        <w:t>帑</w:t>
      </w:r>
      <w:proofErr w:type="gramEnd"/>
      <w:r w:rsidRPr="001440FB">
        <w:rPr>
          <w:rFonts w:hAnsi="標楷體"/>
        </w:rPr>
        <w:t>情形，無待協商項目，且經出席評審委員過半數之決定者，亦得列為符合需要廠商。</w:t>
      </w: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911BCA" w:rsidRDefault="00911BCA" w:rsidP="00911BCA">
      <w:pPr>
        <w:tabs>
          <w:tab w:val="left" w:pos="6360"/>
          <w:tab w:val="left" w:pos="7740"/>
        </w:tabs>
        <w:snapToGrid w:val="0"/>
        <w:spacing w:line="440" w:lineRule="exact"/>
        <w:ind w:leftChars="304" w:left="1699" w:rightChars="28" w:right="78" w:hangingChars="303" w:hanging="848"/>
        <w:rPr>
          <w:rFonts w:hAnsi="標楷體"/>
        </w:rPr>
      </w:pPr>
    </w:p>
    <w:p w:rsidR="00D732EB" w:rsidRPr="00911BCA" w:rsidRDefault="00D732EB" w:rsidP="00911BCA"/>
    <w:sectPr w:rsidR="00D732EB" w:rsidRPr="00911B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57" w:rsidRDefault="00BC5D57" w:rsidP="00545A64">
      <w:r>
        <w:separator/>
      </w:r>
    </w:p>
  </w:endnote>
  <w:endnote w:type="continuationSeparator" w:id="0">
    <w:p w:rsidR="00BC5D57" w:rsidRDefault="00BC5D57" w:rsidP="0054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57" w:rsidRDefault="00BC5D57" w:rsidP="00545A64">
      <w:r>
        <w:separator/>
      </w:r>
    </w:p>
  </w:footnote>
  <w:footnote w:type="continuationSeparator" w:id="0">
    <w:p w:rsidR="00BC5D57" w:rsidRDefault="00BC5D57" w:rsidP="0054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60E"/>
    <w:multiLevelType w:val="hybridMultilevel"/>
    <w:tmpl w:val="9CDC186A"/>
    <w:lvl w:ilvl="0" w:tplc="A5B47406">
      <w:start w:val="92"/>
      <w:numFmt w:val="bullet"/>
      <w:lvlText w:val="□"/>
      <w:lvlJc w:val="left"/>
      <w:pPr>
        <w:tabs>
          <w:tab w:val="num" w:pos="1065"/>
        </w:tabs>
        <w:ind w:left="1065" w:hanging="360"/>
      </w:pPr>
      <w:rPr>
        <w:rFonts w:ascii="全真楷書" w:eastAsia="全真楷書" w:hAnsi="Times New Roman" w:cs="Times New Roman" w:hint="eastAsia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</w:abstractNum>
  <w:abstractNum w:abstractNumId="1">
    <w:nsid w:val="46BC6964"/>
    <w:multiLevelType w:val="singleLevel"/>
    <w:tmpl w:val="5EDC8782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</w:rPr>
    </w:lvl>
  </w:abstractNum>
  <w:abstractNum w:abstractNumId="2">
    <w:nsid w:val="4C81289B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CA"/>
    <w:rsid w:val="001F4013"/>
    <w:rsid w:val="00545A64"/>
    <w:rsid w:val="00666C7A"/>
    <w:rsid w:val="006E05B7"/>
    <w:rsid w:val="00911BCA"/>
    <w:rsid w:val="00BC5D57"/>
    <w:rsid w:val="00D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A"/>
    <w:pPr>
      <w:widowControl w:val="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11BCA"/>
    <w:pPr>
      <w:spacing w:line="420" w:lineRule="exact"/>
      <w:ind w:leftChars="200" w:left="840" w:hangingChars="100" w:hanging="280"/>
    </w:pPr>
    <w:rPr>
      <w:rFonts w:ascii="標楷體"/>
    </w:rPr>
  </w:style>
  <w:style w:type="character" w:customStyle="1" w:styleId="30">
    <w:name w:val="本文縮排 3 字元"/>
    <w:basedOn w:val="a0"/>
    <w:link w:val="3"/>
    <w:rsid w:val="00911BCA"/>
    <w:rPr>
      <w:rFonts w:ascii="標楷體" w:eastAsia="標楷體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45A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45A6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A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5A64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A"/>
    <w:pPr>
      <w:widowControl w:val="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11BCA"/>
    <w:pPr>
      <w:spacing w:line="420" w:lineRule="exact"/>
      <w:ind w:leftChars="200" w:left="840" w:hangingChars="100" w:hanging="280"/>
    </w:pPr>
    <w:rPr>
      <w:rFonts w:ascii="標楷體"/>
    </w:rPr>
  </w:style>
  <w:style w:type="character" w:customStyle="1" w:styleId="30">
    <w:name w:val="本文縮排 3 字元"/>
    <w:basedOn w:val="a0"/>
    <w:link w:val="3"/>
    <w:rsid w:val="00911BCA"/>
    <w:rPr>
      <w:rFonts w:ascii="標楷體" w:eastAsia="標楷體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45A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45A6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A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5A6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2017-01-15T11:36:00Z</dcterms:created>
  <dcterms:modified xsi:type="dcterms:W3CDTF">2018-12-11T06:41:00Z</dcterms:modified>
</cp:coreProperties>
</file>