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F4" w:rsidRPr="00011132" w:rsidRDefault="008943F4" w:rsidP="008943F4">
      <w:pPr>
        <w:spacing w:line="500" w:lineRule="exact"/>
        <w:jc w:val="center"/>
        <w:rPr>
          <w:rFonts w:ascii="新細明體-ExtB" w:eastAsia="新細明體-ExtB" w:hAnsi="新細明體-ExtB" w:hint="eastAsia"/>
          <w:b/>
          <w:sz w:val="32"/>
          <w:szCs w:val="32"/>
        </w:rPr>
      </w:pPr>
      <w:r w:rsidRPr="00011132">
        <w:rPr>
          <w:rFonts w:ascii="新細明體" w:hAnsi="新細明體" w:cs="新細明體" w:hint="eastAsia"/>
          <w:b/>
          <w:sz w:val="32"/>
          <w:szCs w:val="32"/>
        </w:rPr>
        <w:t>更生人戒治毒癮收容安置處所</w:t>
      </w:r>
    </w:p>
    <w:p w:rsidR="008943F4" w:rsidRDefault="008943F4" w:rsidP="008943F4">
      <w:pPr>
        <w:jc w:val="center"/>
        <w:rPr>
          <w:rFonts w:ascii="新細明體" w:hAnsi="新細明體" w:cs="新細明體" w:hint="eastAsia"/>
          <w:b/>
          <w:sz w:val="32"/>
          <w:szCs w:val="32"/>
        </w:rPr>
      </w:pPr>
      <w:r w:rsidRPr="00011132">
        <w:rPr>
          <w:rFonts w:ascii="新細明體" w:hAnsi="新細明體" w:cs="新細明體" w:hint="eastAsia"/>
          <w:b/>
          <w:sz w:val="32"/>
          <w:szCs w:val="32"/>
        </w:rPr>
        <w:t>委託經營管理實施計畫</w:t>
      </w:r>
    </w:p>
    <w:p w:rsidR="008943F4" w:rsidRPr="00011132" w:rsidRDefault="008943F4" w:rsidP="008943F4">
      <w:pPr>
        <w:jc w:val="center"/>
        <w:rPr>
          <w:rFonts w:ascii="新細明體-ExtB" w:eastAsia="新細明體-ExtB" w:hAnsi="新細明體-ExtB"/>
          <w:b/>
          <w:sz w:val="32"/>
          <w:szCs w:val="32"/>
        </w:rPr>
      </w:pPr>
    </w:p>
    <w:p w:rsidR="008943F4" w:rsidRPr="00011132" w:rsidRDefault="008943F4" w:rsidP="008943F4">
      <w:pPr>
        <w:numPr>
          <w:ilvl w:val="0"/>
          <w:numId w:val="1"/>
        </w:numPr>
        <w:spacing w:beforeLines="100" w:before="240" w:line="500" w:lineRule="exact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實施目的：</w:t>
      </w:r>
    </w:p>
    <w:p w:rsidR="008943F4" w:rsidRPr="00011132" w:rsidRDefault="008943F4" w:rsidP="008943F4">
      <w:pPr>
        <w:pStyle w:val="2"/>
        <w:spacing w:line="500" w:lineRule="exact"/>
        <w:ind w:left="720" w:firstLine="0"/>
        <w:rPr>
          <w:rFonts w:ascii="新細明體-ExtB" w:eastAsia="新細明體-ExtB" w:hAnsi="新細明體-ExtB"/>
          <w:color w:val="000000"/>
        </w:rPr>
      </w:pPr>
      <w:r w:rsidRPr="00011132">
        <w:rPr>
          <w:rFonts w:ascii="新細明體" w:eastAsia="新細明體" w:hAnsi="新細明體" w:cs="新細明體" w:hint="eastAsia"/>
          <w:color w:val="000000"/>
        </w:rPr>
        <w:t>使出監後欲戒除毒癮之更生人，解決其戒除吸毒之</w:t>
      </w:r>
      <w:proofErr w:type="gramStart"/>
      <w:r w:rsidRPr="00011132">
        <w:rPr>
          <w:rFonts w:ascii="新細明體" w:eastAsia="新細明體" w:hAnsi="新細明體" w:cs="新細明體" w:hint="eastAsia"/>
          <w:color w:val="000000"/>
        </w:rPr>
        <w:t>心癮及安置</w:t>
      </w:r>
      <w:proofErr w:type="gramEnd"/>
      <w:r w:rsidRPr="00011132">
        <w:rPr>
          <w:rFonts w:ascii="新細明體" w:eastAsia="新細明體" w:hAnsi="新細明體" w:cs="新細明體" w:hint="eastAsia"/>
          <w:color w:val="000000"/>
        </w:rPr>
        <w:t>事宜，並訓練規律生活，重新適應社會，面對人群，以落實直接保護功能。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2520" w:hangingChars="900" w:hanging="2520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二、辦理單位：</w:t>
      </w:r>
    </w:p>
    <w:p w:rsidR="008943F4" w:rsidRPr="00011132" w:rsidRDefault="008943F4" w:rsidP="008943F4">
      <w:pPr>
        <w:spacing w:line="500" w:lineRule="exact"/>
        <w:ind w:left="2520" w:hangingChars="900" w:hanging="2520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 xml:space="preserve">   </w:t>
      </w:r>
      <w:r w:rsidRPr="00011132">
        <w:rPr>
          <w:rFonts w:ascii="新細明體" w:hAnsi="新細明體" w:cs="新細明體" w:hint="eastAsia"/>
          <w:sz w:val="28"/>
          <w:szCs w:val="28"/>
        </w:rPr>
        <w:t>（一）指導單位：法務部、財團法人臺灣更生保護會。</w:t>
      </w:r>
    </w:p>
    <w:p w:rsidR="008943F4" w:rsidRPr="00011132" w:rsidRDefault="008943F4" w:rsidP="008943F4">
      <w:pPr>
        <w:spacing w:line="500" w:lineRule="exact"/>
        <w:ind w:left="2520" w:hangingChars="900" w:hanging="2520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 xml:space="preserve">   </w:t>
      </w:r>
      <w:r w:rsidRPr="00011132">
        <w:rPr>
          <w:rFonts w:ascii="新細明體" w:hAnsi="新細明體" w:cs="新細明體" w:hint="eastAsia"/>
          <w:sz w:val="28"/>
          <w:szCs w:val="28"/>
        </w:rPr>
        <w:t>（二）辦理單位：財團法人臺灣更生保護會高雄分會（以下稱甲方）。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2520" w:hangingChars="900" w:hanging="2520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三、委託標的：</w:t>
      </w:r>
    </w:p>
    <w:p w:rsidR="008943F4" w:rsidRPr="00011132" w:rsidRDefault="008943F4" w:rsidP="008943F4">
      <w:pPr>
        <w:spacing w:line="500" w:lineRule="exact"/>
        <w:ind w:left="538" w:hangingChars="192" w:hanging="538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 xml:space="preserve">    </w:t>
      </w:r>
      <w:r w:rsidRPr="00011132">
        <w:rPr>
          <w:rFonts w:ascii="新細明體" w:hAnsi="新細明體" w:cs="新細明體" w:hint="eastAsia"/>
          <w:sz w:val="28"/>
          <w:szCs w:val="28"/>
        </w:rPr>
        <w:t>更生人戒治毒癮安置處所</w:t>
      </w:r>
      <w:proofErr w:type="gramStart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</w:t>
      </w:r>
      <w:proofErr w:type="gramEnd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高雄市大竂區仁德新村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1-1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號）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1439" w:hangingChars="514" w:hanging="1439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四、委託項目：</w:t>
      </w:r>
    </w:p>
    <w:p w:rsidR="008943F4" w:rsidRPr="00011132" w:rsidRDefault="008943F4" w:rsidP="008943F4">
      <w:pPr>
        <w:spacing w:line="500" w:lineRule="exact"/>
        <w:ind w:leftChars="225" w:left="1346" w:hangingChars="288" w:hanging="806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FF"/>
          <w:sz w:val="28"/>
          <w:szCs w:val="28"/>
        </w:rPr>
        <w:t>（一）</w:t>
      </w:r>
      <w:r w:rsidRPr="00011132">
        <w:rPr>
          <w:rFonts w:ascii="新細明體" w:hAnsi="新細明體" w:cs="新細明體" w:hint="eastAsia"/>
          <w:sz w:val="28"/>
          <w:szCs w:val="28"/>
        </w:rPr>
        <w:t>更生人安置處所：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服務內容含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1.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生活照顧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2.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生活輔導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3.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職業訓練與就業準備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4.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建立家庭支持系統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5.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其他相關福利服務等事項。</w:t>
      </w:r>
    </w:p>
    <w:p w:rsidR="008943F4" w:rsidRPr="00011132" w:rsidRDefault="008943F4" w:rsidP="008943F4">
      <w:pPr>
        <w:spacing w:line="500" w:lineRule="exact"/>
        <w:ind w:leftChars="225" w:left="1346" w:hangingChars="288" w:hanging="806"/>
        <w:rPr>
          <w:rFonts w:ascii="新細明體-ExtB" w:eastAsia="新細明體-ExtB" w:hAnsi="新細明體-ExtB" w:hint="eastAsia"/>
          <w:color w:val="0000FF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FF"/>
          <w:sz w:val="28"/>
          <w:szCs w:val="28"/>
        </w:rPr>
        <w:t>（二）委託標的經營管理及其所有之設施設備維護。</w:t>
      </w:r>
    </w:p>
    <w:p w:rsidR="008943F4" w:rsidRPr="00011132" w:rsidRDefault="008943F4" w:rsidP="008943F4">
      <w:pPr>
        <w:spacing w:line="500" w:lineRule="exact"/>
        <w:ind w:leftChars="225" w:left="1346" w:hangingChars="288" w:hanging="806"/>
        <w:rPr>
          <w:rFonts w:ascii="新細明體-ExtB" w:eastAsia="新細明體-ExtB" w:hAnsi="新細明體-ExtB" w:hint="eastAsia"/>
          <w:color w:val="0000FF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FF"/>
          <w:sz w:val="28"/>
          <w:szCs w:val="28"/>
        </w:rPr>
        <w:t>（三）其他更生保護相關配合事項。</w:t>
      </w:r>
    </w:p>
    <w:p w:rsidR="008943F4" w:rsidRPr="00011132" w:rsidRDefault="008943F4" w:rsidP="008943F4">
      <w:pPr>
        <w:spacing w:beforeLines="50" w:before="120" w:afterLines="50" w:after="120" w:line="500" w:lineRule="exact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五、委託對象（以下稱乙方）：</w:t>
      </w:r>
    </w:p>
    <w:p w:rsidR="008943F4" w:rsidRPr="00011132" w:rsidRDefault="008943F4" w:rsidP="008943F4">
      <w:pPr>
        <w:spacing w:line="500" w:lineRule="exact"/>
        <w:ind w:leftChars="200" w:left="1127" w:hangingChars="231" w:hanging="647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 xml:space="preserve"> </w:t>
      </w:r>
      <w:r w:rsidRPr="00011132">
        <w:rPr>
          <w:rFonts w:ascii="新細明體" w:hAnsi="新細明體" w:cs="新細明體" w:hint="eastAsia"/>
          <w:sz w:val="28"/>
          <w:szCs w:val="28"/>
        </w:rPr>
        <w:t>（一）</w:t>
      </w:r>
      <w:r w:rsidRPr="00011132">
        <w:rPr>
          <w:rFonts w:ascii="新細明體" w:hAnsi="新細明體" w:cs="新細明體" w:hint="eastAsia"/>
          <w:color w:val="FF0000"/>
          <w:sz w:val="28"/>
          <w:szCs w:val="28"/>
        </w:rPr>
        <w:t>具有更生人輔導經驗之合法立案團體</w:t>
      </w:r>
      <w:r w:rsidRPr="00011132">
        <w:rPr>
          <w:rFonts w:ascii="新細明體" w:hAnsi="新細明體" w:cs="新細明體" w:hint="eastAsia"/>
          <w:sz w:val="28"/>
          <w:szCs w:val="28"/>
        </w:rPr>
        <w:t>。</w:t>
      </w:r>
    </w:p>
    <w:p w:rsidR="008943F4" w:rsidRPr="00011132" w:rsidRDefault="008943F4" w:rsidP="008943F4">
      <w:pPr>
        <w:spacing w:line="500" w:lineRule="exact"/>
        <w:ind w:left="480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 xml:space="preserve"> </w:t>
      </w:r>
      <w:r w:rsidRPr="00011132">
        <w:rPr>
          <w:rFonts w:ascii="新細明體" w:hAnsi="新細明體" w:cs="新細明體" w:hint="eastAsia"/>
          <w:sz w:val="28"/>
          <w:szCs w:val="28"/>
        </w:rPr>
        <w:t>（二）申請單位應檢送下列文件：</w:t>
      </w:r>
    </w:p>
    <w:p w:rsidR="008943F4" w:rsidRPr="00011132" w:rsidRDefault="008943F4" w:rsidP="008943F4">
      <w:pPr>
        <w:spacing w:line="500" w:lineRule="exact"/>
        <w:ind w:leftChars="618" w:left="1903" w:hangingChars="150" w:hanging="420"/>
        <w:rPr>
          <w:rFonts w:ascii="新細明體-ExtB" w:eastAsia="新細明體-ExtB" w:hAnsi="新細明體-ExtB" w:hint="eastAsia"/>
          <w:b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>1</w:t>
      </w:r>
      <w:r w:rsidRPr="00011132">
        <w:rPr>
          <w:rFonts w:ascii="新細明體" w:hAnsi="新細明體" w:cs="新細明體" w:hint="eastAsia"/>
          <w:sz w:val="28"/>
          <w:szCs w:val="28"/>
        </w:rPr>
        <w:t>、服務計畫書：內容包含機構介紹、人事組織、服務內容及方式、人力配置、預期效益等。</w:t>
      </w:r>
    </w:p>
    <w:p w:rsidR="008943F4" w:rsidRPr="00011132" w:rsidRDefault="008943F4" w:rsidP="008943F4">
      <w:pPr>
        <w:spacing w:line="500" w:lineRule="exact"/>
        <w:ind w:leftChars="638" w:left="1951" w:hangingChars="150" w:hanging="420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sz w:val="28"/>
          <w:szCs w:val="28"/>
        </w:rPr>
        <w:t>2</w:t>
      </w:r>
      <w:r w:rsidRPr="00011132">
        <w:rPr>
          <w:rFonts w:ascii="新細明體" w:hAnsi="新細明體" w:cs="新細明體" w:hint="eastAsia"/>
          <w:sz w:val="28"/>
          <w:szCs w:val="28"/>
        </w:rPr>
        <w:t>、立案資料（主管機關核准設立證明文件影本、法人登記證書影本）及組織章程。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538" w:hangingChars="192" w:hanging="538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六、本案服務標的之使用，說明如下：</w:t>
      </w:r>
    </w:p>
    <w:p w:rsidR="008943F4" w:rsidRPr="00011132" w:rsidRDefault="008943F4" w:rsidP="008943F4">
      <w:pPr>
        <w:spacing w:line="500" w:lineRule="exact"/>
        <w:ind w:left="538" w:hangingChars="192" w:hanging="538"/>
        <w:jc w:val="both"/>
        <w:rPr>
          <w:rFonts w:ascii="新細明體-ExtB" w:eastAsia="新細明體-ExtB" w:hAnsi="新細明體-ExtB" w:hint="eastAsia"/>
          <w:color w:val="0000FF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 xml:space="preserve">   </w:t>
      </w:r>
      <w:r w:rsidRPr="00011132">
        <w:rPr>
          <w:rFonts w:ascii="新細明體-ExtB" w:eastAsia="新細明體-ExtB" w:hAnsi="新細明體-ExtB" w:hint="eastAsia"/>
          <w:color w:val="FF0000"/>
          <w:sz w:val="28"/>
          <w:szCs w:val="28"/>
        </w:rPr>
        <w:t xml:space="preserve"> 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安置處所房舍由臺灣更生保護會高雄分會提供，足以收容安置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16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人之服務能量。因係辦理社會公益事項，由甲方委託乙方經營管理（無償使用</w:t>
      </w:r>
      <w:bookmarkStart w:id="0" w:name="_GoBack"/>
      <w:bookmarkEnd w:id="0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），乙方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lastRenderedPageBreak/>
        <w:t>應善盡管理之責，若需修繕費用，乙方依實際狀況向甲方提出申請；如有不足，由乙方自行籌措</w:t>
      </w:r>
      <w:r w:rsidRPr="00011132">
        <w:rPr>
          <w:rFonts w:ascii="新細明體" w:hAnsi="新細明體" w:cs="新細明體" w:hint="eastAsia"/>
          <w:color w:val="0000FF"/>
          <w:sz w:val="28"/>
          <w:szCs w:val="28"/>
        </w:rPr>
        <w:t>。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1401" w:hangingChars="500" w:hanging="1401"/>
        <w:jc w:val="both"/>
        <w:rPr>
          <w:rFonts w:ascii="新細明體-ExtB" w:eastAsia="新細明體-ExtB" w:hAnsi="新細明體-ExtB" w:hint="eastAsia"/>
          <w:b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b/>
          <w:color w:val="000000"/>
          <w:sz w:val="28"/>
          <w:szCs w:val="28"/>
        </w:rPr>
        <w:t>七、甲方提供更生人戒治毒癮收容安置費用如下列：</w:t>
      </w:r>
    </w:p>
    <w:p w:rsidR="008943F4" w:rsidRPr="00011132" w:rsidRDefault="008943F4" w:rsidP="008943F4">
      <w:pPr>
        <w:spacing w:line="500" w:lineRule="exact"/>
        <w:ind w:firstLineChars="192" w:firstLine="538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（一）伙食費：每人每月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6,000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元。</w:t>
      </w:r>
    </w:p>
    <w:p w:rsidR="008943F4" w:rsidRPr="00011132" w:rsidRDefault="008943F4" w:rsidP="008943F4">
      <w:pPr>
        <w:spacing w:line="500" w:lineRule="exact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 xml:space="preserve">    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（二）零用金：每人每月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500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元。</w:t>
      </w:r>
    </w:p>
    <w:p w:rsidR="008943F4" w:rsidRPr="00011132" w:rsidRDefault="008943F4" w:rsidP="008943F4">
      <w:pPr>
        <w:spacing w:line="500" w:lineRule="exact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 xml:space="preserve">    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（三）辦公費：每人每月</w:t>
      </w: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>3,500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元。</w:t>
      </w:r>
    </w:p>
    <w:p w:rsidR="008943F4" w:rsidRPr="00011132" w:rsidRDefault="008943F4" w:rsidP="008943F4">
      <w:pPr>
        <w:spacing w:beforeLines="50" w:before="120" w:afterLines="50" w:after="120" w:line="500" w:lineRule="exact"/>
        <w:ind w:left="1120" w:hangingChars="400" w:hanging="1120"/>
        <w:jc w:val="both"/>
        <w:rPr>
          <w:rFonts w:ascii="新細明體-ExtB" w:eastAsia="新細明體-ExtB" w:hAnsi="新細明體-ExtB" w:hint="eastAsia"/>
          <w:b/>
          <w:color w:val="000000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 xml:space="preserve">     </w:t>
      </w:r>
      <w:r w:rsidRPr="00011132">
        <w:rPr>
          <w:rFonts w:ascii="新細明體" w:hAnsi="新細明體" w:cs="新細明體" w:hint="eastAsia"/>
          <w:b/>
          <w:color w:val="000000"/>
          <w:sz w:val="28"/>
          <w:szCs w:val="28"/>
        </w:rPr>
        <w:t>※以上未足月部分按實際收容日數比例計算之；收容人輔導期間以</w:t>
      </w:r>
      <w:r w:rsidRPr="00011132">
        <w:rPr>
          <w:rFonts w:ascii="新細明體" w:hAnsi="新細明體" w:cs="新細明體" w:hint="eastAsia"/>
          <w:b/>
          <w:sz w:val="28"/>
          <w:szCs w:val="28"/>
        </w:rPr>
        <w:t>一年六個月為限，若有特殊狀況，經分會評估決議，可延長</w:t>
      </w:r>
      <w:r w:rsidRPr="00011132">
        <w:rPr>
          <w:rFonts w:ascii="新細明體-ExtB" w:eastAsia="新細明體-ExtB" w:hAnsi="新細明體-ExtB" w:hint="eastAsia"/>
          <w:b/>
          <w:sz w:val="28"/>
          <w:szCs w:val="28"/>
        </w:rPr>
        <w:t>3</w:t>
      </w:r>
      <w:r w:rsidRPr="00011132">
        <w:rPr>
          <w:rFonts w:ascii="新細明體" w:hAnsi="新細明體" w:cs="新細明體" w:hint="eastAsia"/>
          <w:b/>
          <w:sz w:val="28"/>
          <w:szCs w:val="28"/>
        </w:rPr>
        <w:t>至</w:t>
      </w:r>
      <w:r w:rsidRPr="00011132">
        <w:rPr>
          <w:rFonts w:ascii="新細明體-ExtB" w:eastAsia="新細明體-ExtB" w:hAnsi="新細明體-ExtB" w:hint="eastAsia"/>
          <w:b/>
          <w:sz w:val="28"/>
          <w:szCs w:val="28"/>
        </w:rPr>
        <w:t>6</w:t>
      </w:r>
      <w:r w:rsidRPr="00011132">
        <w:rPr>
          <w:rFonts w:ascii="新細明體" w:hAnsi="新細明體" w:cs="新細明體" w:hint="eastAsia"/>
          <w:b/>
          <w:sz w:val="28"/>
          <w:szCs w:val="28"/>
        </w:rPr>
        <w:t>個月。安置收容</w:t>
      </w:r>
      <w:proofErr w:type="gramStart"/>
      <w:r w:rsidRPr="00011132">
        <w:rPr>
          <w:rFonts w:ascii="新細明體" w:hAnsi="新細明體" w:cs="新細明體" w:hint="eastAsia"/>
          <w:b/>
          <w:sz w:val="28"/>
          <w:szCs w:val="28"/>
        </w:rPr>
        <w:t>前均需經過</w:t>
      </w:r>
      <w:proofErr w:type="gramEnd"/>
      <w:r w:rsidRPr="00011132">
        <w:rPr>
          <w:rFonts w:ascii="新細明體" w:hAnsi="新細明體" w:cs="新細明體" w:hint="eastAsia"/>
          <w:b/>
          <w:sz w:val="28"/>
          <w:szCs w:val="28"/>
        </w:rPr>
        <w:t>「審查小組會議（甲、乙雙方為當然成員）」審核通過。</w:t>
      </w:r>
    </w:p>
    <w:p w:rsidR="008943F4" w:rsidRPr="00011132" w:rsidRDefault="008943F4" w:rsidP="008943F4">
      <w:pPr>
        <w:spacing w:line="500" w:lineRule="exact"/>
        <w:ind w:left="1400" w:hangingChars="500" w:hanging="1400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-ExtB" w:eastAsia="新細明體-ExtB" w:hAnsi="新細明體-ExtB" w:hint="eastAsia"/>
          <w:color w:val="000000"/>
          <w:sz w:val="28"/>
          <w:szCs w:val="28"/>
        </w:rPr>
        <w:t xml:space="preserve">    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（四）收容之更生人如有符合甲方直接、間接、暫時保護服務事項之情況，其經費</w:t>
      </w:r>
      <w:proofErr w:type="gramStart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補助悉</w:t>
      </w:r>
      <w:proofErr w:type="gramEnd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依甲方相關規定，由乙方向甲方提出申請。</w:t>
      </w:r>
    </w:p>
    <w:p w:rsidR="008943F4" w:rsidRPr="00011132" w:rsidRDefault="008943F4" w:rsidP="008943F4">
      <w:pPr>
        <w:pStyle w:val="2"/>
        <w:spacing w:beforeLines="50" w:before="120" w:afterLines="50" w:line="500" w:lineRule="exact"/>
        <w:ind w:left="538" w:hangingChars="192" w:hanging="538"/>
        <w:rPr>
          <w:rFonts w:ascii="新細明體-ExtB" w:eastAsia="新細明體-ExtB" w:hAnsi="新細明體-ExtB" w:hint="eastAsia"/>
          <w:color w:val="000000"/>
          <w:szCs w:val="28"/>
        </w:rPr>
      </w:pPr>
      <w:r w:rsidRPr="00011132">
        <w:rPr>
          <w:rFonts w:ascii="新細明體" w:eastAsia="新細明體" w:hAnsi="新細明體" w:cs="新細明體" w:hint="eastAsia"/>
          <w:color w:val="000000"/>
          <w:szCs w:val="28"/>
        </w:rPr>
        <w:t>八、乙方應訂定生活公約，規範團體生活管理及設施設備維護修繕事宜，</w:t>
      </w:r>
      <w:proofErr w:type="gramStart"/>
      <w:r w:rsidRPr="00011132">
        <w:rPr>
          <w:rFonts w:ascii="新細明體" w:eastAsia="新細明體" w:hAnsi="新細明體" w:cs="新細明體" w:hint="eastAsia"/>
          <w:color w:val="000000"/>
          <w:szCs w:val="28"/>
        </w:rPr>
        <w:t>俾</w:t>
      </w:r>
      <w:proofErr w:type="gramEnd"/>
      <w:r w:rsidRPr="00011132">
        <w:rPr>
          <w:rFonts w:ascii="新細明體" w:eastAsia="新細明體" w:hAnsi="新細明體" w:cs="新細明體" w:hint="eastAsia"/>
          <w:color w:val="000000"/>
          <w:szCs w:val="28"/>
        </w:rPr>
        <w:t>共同遵守。</w:t>
      </w:r>
    </w:p>
    <w:p w:rsidR="008943F4" w:rsidRPr="00011132" w:rsidRDefault="008943F4" w:rsidP="008943F4">
      <w:pPr>
        <w:spacing w:line="500" w:lineRule="exact"/>
        <w:ind w:left="680" w:hanging="680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九、乙方於委託期間內有下列各款情形之</w:t>
      </w:r>
      <w:proofErr w:type="gramStart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一</w:t>
      </w:r>
      <w:proofErr w:type="gramEnd"/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者，甲方得終止契約：</w:t>
      </w:r>
    </w:p>
    <w:p w:rsidR="008943F4" w:rsidRPr="00011132" w:rsidRDefault="008943F4" w:rsidP="008943F4">
      <w:pPr>
        <w:spacing w:line="500" w:lineRule="exact"/>
        <w:ind w:leftChars="292" w:left="1541" w:hangingChars="300" w:hanging="840"/>
        <w:rPr>
          <w:rFonts w:ascii="新細明體-ExtB" w:eastAsia="新細明體-ExtB" w:hAnsi="新細明體-ExtB" w:hint="eastAsia"/>
          <w:color w:val="000000"/>
          <w:sz w:val="28"/>
          <w:szCs w:val="28"/>
          <w:shd w:val="pct15" w:color="auto" w:fill="FFFFFF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（一）乙方未依本契約所訂事項執行委辦業務，經甲方通知改善而仍未改善者。</w:t>
      </w:r>
    </w:p>
    <w:p w:rsidR="008943F4" w:rsidRPr="00011132" w:rsidRDefault="008943F4" w:rsidP="008943F4">
      <w:pPr>
        <w:spacing w:line="500" w:lineRule="exact"/>
        <w:ind w:leftChars="292" w:left="1541" w:hangingChars="300" w:hanging="840"/>
        <w:jc w:val="both"/>
        <w:rPr>
          <w:rFonts w:ascii="新細明體-ExtB" w:eastAsia="新細明體-ExtB" w:hAnsi="新細明體-ExtB" w:hint="eastAsia"/>
          <w:color w:val="000000"/>
          <w:sz w:val="28"/>
          <w:szCs w:val="28"/>
        </w:rPr>
      </w:pP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（二）乙方執行委辦業務，不得有違法、違反善良風俗情事。</w:t>
      </w:r>
    </w:p>
    <w:p w:rsidR="008943F4" w:rsidRPr="00011132" w:rsidRDefault="008943F4" w:rsidP="008943F4">
      <w:pPr>
        <w:spacing w:beforeLines="50" w:before="120" w:line="500" w:lineRule="exact"/>
        <w:ind w:left="1960" w:hangingChars="700" w:hanging="1960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十一、委託期限：自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105</w:t>
      </w:r>
      <w:r w:rsidRPr="00011132">
        <w:rPr>
          <w:rFonts w:ascii="新細明體" w:hAnsi="新細明體" w:cs="新細明體" w:hint="eastAsia"/>
          <w:sz w:val="28"/>
          <w:szCs w:val="28"/>
        </w:rPr>
        <w:t>年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07</w:t>
      </w:r>
      <w:r w:rsidRPr="00011132">
        <w:rPr>
          <w:rFonts w:ascii="新細明體" w:hAnsi="新細明體" w:cs="新細明體" w:hint="eastAsia"/>
          <w:sz w:val="28"/>
          <w:szCs w:val="28"/>
        </w:rPr>
        <w:t>月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01</w:t>
      </w:r>
      <w:r w:rsidRPr="00011132">
        <w:rPr>
          <w:rFonts w:ascii="新細明體" w:hAnsi="新細明體" w:cs="新細明體" w:hint="eastAsia"/>
          <w:color w:val="000000"/>
          <w:sz w:val="28"/>
          <w:szCs w:val="28"/>
        </w:rPr>
        <w:t>日起</w:t>
      </w:r>
      <w:r w:rsidRPr="00011132">
        <w:rPr>
          <w:rFonts w:ascii="新細明體" w:hAnsi="新細明體" w:cs="新細明體" w:hint="eastAsia"/>
          <w:sz w:val="28"/>
          <w:szCs w:val="28"/>
        </w:rPr>
        <w:t>至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106</w:t>
      </w:r>
      <w:r w:rsidRPr="00011132">
        <w:rPr>
          <w:rFonts w:ascii="新細明體" w:hAnsi="新細明體" w:cs="新細明體" w:hint="eastAsia"/>
          <w:sz w:val="28"/>
          <w:szCs w:val="28"/>
        </w:rPr>
        <w:t>年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06</w:t>
      </w:r>
      <w:r w:rsidRPr="00011132">
        <w:rPr>
          <w:rFonts w:ascii="新細明體" w:hAnsi="新細明體" w:cs="新細明體" w:hint="eastAsia"/>
          <w:sz w:val="28"/>
          <w:szCs w:val="28"/>
        </w:rPr>
        <w:t>月</w:t>
      </w:r>
      <w:r w:rsidRPr="00011132">
        <w:rPr>
          <w:rFonts w:ascii="新細明體-ExtB" w:eastAsia="新細明體-ExtB" w:hAnsi="新細明體-ExtB" w:hint="eastAsia"/>
          <w:sz w:val="28"/>
          <w:szCs w:val="28"/>
        </w:rPr>
        <w:t>30</w:t>
      </w:r>
      <w:r w:rsidRPr="00011132">
        <w:rPr>
          <w:rFonts w:ascii="新細明體" w:hAnsi="新細明體" w:cs="新細明體" w:hint="eastAsia"/>
          <w:sz w:val="28"/>
          <w:szCs w:val="28"/>
        </w:rPr>
        <w:t>日止。</w:t>
      </w:r>
    </w:p>
    <w:p w:rsidR="008943F4" w:rsidRPr="00011132" w:rsidRDefault="008943F4" w:rsidP="008943F4">
      <w:pPr>
        <w:spacing w:line="500" w:lineRule="exact"/>
        <w:ind w:leftChars="813" w:left="1951" w:firstLineChars="80" w:firstLine="224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委託經營績優者，甲方優先考量持續委辦。</w:t>
      </w:r>
    </w:p>
    <w:p w:rsidR="008943F4" w:rsidRPr="00011132" w:rsidRDefault="008943F4" w:rsidP="008943F4">
      <w:pPr>
        <w:spacing w:beforeLines="50" w:before="120" w:line="500" w:lineRule="exact"/>
        <w:ind w:left="2240" w:hangingChars="800" w:hanging="2240"/>
        <w:jc w:val="both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十二、委託方式：公告相關公益團體，有意願經營者提出計畫參加甄選，經評選優勝者由甲方委託經營。</w:t>
      </w:r>
    </w:p>
    <w:p w:rsidR="008943F4" w:rsidRPr="00011132" w:rsidRDefault="008943F4" w:rsidP="008943F4">
      <w:pPr>
        <w:spacing w:beforeLines="50" w:before="120" w:line="500" w:lineRule="exact"/>
        <w:ind w:left="2240" w:hangingChars="800" w:hanging="2240"/>
        <w:rPr>
          <w:rFonts w:ascii="新細明體-ExtB" w:eastAsia="新細明體-ExtB" w:hAnsi="新細明體-ExtB" w:hint="eastAsia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十三、委託經費：甲方依本計畫第七點之標準提供費用</w:t>
      </w:r>
      <w:r w:rsidRPr="00011132">
        <w:rPr>
          <w:rFonts w:ascii="新細明體" w:hAnsi="新細明體" w:cs="新細明體" w:hint="eastAsia"/>
          <w:bCs/>
          <w:sz w:val="28"/>
          <w:szCs w:val="28"/>
        </w:rPr>
        <w:t>，</w:t>
      </w:r>
      <w:proofErr w:type="gramStart"/>
      <w:r w:rsidRPr="00011132">
        <w:rPr>
          <w:rFonts w:ascii="新細明體" w:hAnsi="新細明體" w:cs="新細明體" w:hint="eastAsia"/>
          <w:bCs/>
          <w:sz w:val="28"/>
          <w:szCs w:val="28"/>
        </w:rPr>
        <w:t>並視乙方</w:t>
      </w:r>
      <w:proofErr w:type="gramEnd"/>
      <w:r w:rsidRPr="00011132">
        <w:rPr>
          <w:rFonts w:ascii="新細明體" w:hAnsi="新細明體" w:cs="新細明體" w:hint="eastAsia"/>
          <w:bCs/>
          <w:sz w:val="28"/>
          <w:szCs w:val="28"/>
        </w:rPr>
        <w:t>服務能量而定</w:t>
      </w:r>
      <w:r w:rsidRPr="00011132">
        <w:rPr>
          <w:rFonts w:ascii="新細明體" w:hAnsi="新細明體" w:cs="新細明體" w:hint="eastAsia"/>
          <w:sz w:val="28"/>
          <w:szCs w:val="28"/>
        </w:rPr>
        <w:t>。</w:t>
      </w:r>
    </w:p>
    <w:p w:rsidR="008943F4" w:rsidRPr="00011132" w:rsidRDefault="008943F4" w:rsidP="008943F4">
      <w:pPr>
        <w:spacing w:beforeLines="50" w:before="120" w:line="500" w:lineRule="exact"/>
        <w:rPr>
          <w:rFonts w:ascii="新細明體-ExtB" w:eastAsia="新細明體-ExtB" w:hAnsi="新細明體-ExtB"/>
          <w:sz w:val="28"/>
          <w:szCs w:val="28"/>
        </w:rPr>
      </w:pPr>
      <w:r w:rsidRPr="00011132">
        <w:rPr>
          <w:rFonts w:ascii="新細明體" w:hAnsi="新細明體" w:cs="新細明體" w:hint="eastAsia"/>
          <w:sz w:val="28"/>
          <w:szCs w:val="28"/>
        </w:rPr>
        <w:t>十四、其他</w:t>
      </w:r>
      <w:proofErr w:type="gramStart"/>
      <w:r w:rsidRPr="00011132">
        <w:rPr>
          <w:rFonts w:ascii="新細明體" w:hAnsi="新細明體" w:cs="新細明體" w:hint="eastAsia"/>
          <w:sz w:val="28"/>
          <w:szCs w:val="28"/>
        </w:rPr>
        <w:t>未盡事宜均依相關</w:t>
      </w:r>
      <w:proofErr w:type="gramEnd"/>
      <w:r w:rsidRPr="00011132">
        <w:rPr>
          <w:rFonts w:ascii="新細明體" w:hAnsi="新細明體" w:cs="新細明體" w:hint="eastAsia"/>
          <w:sz w:val="28"/>
          <w:szCs w:val="28"/>
        </w:rPr>
        <w:t>規定辦理。</w:t>
      </w:r>
    </w:p>
    <w:p w:rsidR="008943F4" w:rsidRPr="00011132" w:rsidRDefault="008943F4" w:rsidP="008943F4">
      <w:pPr>
        <w:pStyle w:val="a6"/>
        <w:spacing w:line="500" w:lineRule="exact"/>
        <w:ind w:leftChars="399" w:left="2358" w:hangingChars="500" w:hanging="1400"/>
        <w:rPr>
          <w:rFonts w:ascii="新細明體-ExtB" w:eastAsia="新細明體-ExtB" w:hAnsi="新細明體-ExtB" w:hint="eastAsia"/>
          <w:kern w:val="0"/>
          <w:sz w:val="28"/>
          <w:szCs w:val="28"/>
        </w:rPr>
      </w:pPr>
    </w:p>
    <w:p w:rsidR="00F23D94" w:rsidRPr="008943F4" w:rsidRDefault="00F23D94">
      <w:pPr>
        <w:rPr>
          <w:lang w:val="x-none"/>
        </w:rPr>
      </w:pPr>
    </w:p>
    <w:sectPr w:rsidR="00F23D94" w:rsidRPr="008943F4" w:rsidSect="00011132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1077" w:bottom="567" w:left="1021" w:header="851" w:footer="992" w:gutter="0"/>
      <w:pgNumType w:start="53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A" w:rsidRDefault="00AC0C5B" w:rsidP="006A30B6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5415DA" w:rsidRDefault="00AC0C5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A" w:rsidRDefault="00AC0C5B" w:rsidP="006A30B6">
    <w:pPr>
      <w:pStyle w:val="a3"/>
      <w:framePr w:wrap="around" w:vAnchor="text" w:hAnchor="margin" w:xAlign="center" w:y="1"/>
      <w:ind w:firstLineChars="1900" w:firstLine="4560"/>
      <w:jc w:val="both"/>
      <w:rPr>
        <w:rStyle w:val="a5"/>
        <w:rFonts w:ascii="標楷體" w:hAnsi="標楷體" w:hint="eastAsia"/>
        <w:sz w:val="24"/>
      </w:rPr>
    </w:pPr>
    <w:r>
      <w:rPr>
        <w:rStyle w:val="a5"/>
        <w:rFonts w:ascii="標楷體" w:hAnsi="標楷體" w:hint="eastAsia"/>
        <w:sz w:val="24"/>
      </w:rPr>
      <w:tab/>
    </w:r>
  </w:p>
  <w:p w:rsidR="005415DA" w:rsidRDefault="00AC0C5B" w:rsidP="006A30B6">
    <w:pPr>
      <w:pStyle w:val="a3"/>
      <w:framePr w:wrap="around" w:vAnchor="text" w:hAnchor="margin" w:xAlign="center" w:y="1"/>
      <w:rPr>
        <w:rStyle w:val="a5"/>
        <w:rFonts w:ascii="標楷體" w:eastAsia="標楷體" w:hAnsi="標楷體" w:hint="eastAsia"/>
        <w:sz w:val="24"/>
      </w:rPr>
    </w:pPr>
  </w:p>
  <w:p w:rsidR="005415DA" w:rsidRDefault="00AC0C5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A" w:rsidRDefault="00AC0C5B">
    <w:pPr>
      <w:pStyle w:val="a3"/>
      <w:tabs>
        <w:tab w:val="clear" w:pos="4153"/>
        <w:tab w:val="clear" w:pos="8306"/>
        <w:tab w:val="left" w:pos="8520"/>
      </w:tabs>
      <w:ind w:firstLineChars="1900" w:firstLine="4560"/>
      <w:rPr>
        <w:rFonts w:ascii="標楷體" w:hAnsi="標楷體" w:hint="eastAsia"/>
      </w:rPr>
    </w:pPr>
    <w:r>
      <w:rPr>
        <w:rFonts w:ascii="標楷體" w:hAnsi="標楷體" w:hint="eastAsia"/>
        <w:sz w:val="24"/>
      </w:rPr>
      <w:t>1</w:t>
    </w:r>
    <w:r>
      <w:rPr>
        <w:rFonts w:ascii="標楷體" w:hAnsi="標楷體" w:hint="eastAsia"/>
        <w:sz w:val="24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A" w:rsidRDefault="00AC0C5B">
    <w:pPr>
      <w:tabs>
        <w:tab w:val="left" w:pos="8160"/>
      </w:tabs>
      <w:ind w:firstLineChars="350" w:firstLine="840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46C9"/>
    <w:multiLevelType w:val="hybridMultilevel"/>
    <w:tmpl w:val="D9C260AA"/>
    <w:lvl w:ilvl="0" w:tplc="8F52A7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4"/>
    <w:rsid w:val="008943F4"/>
    <w:rsid w:val="00AC0C5B"/>
    <w:rsid w:val="00F2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943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8943F4"/>
  </w:style>
  <w:style w:type="paragraph" w:styleId="a6">
    <w:name w:val="Plain Text"/>
    <w:basedOn w:val="a"/>
    <w:link w:val="a7"/>
    <w:rsid w:val="008943F4"/>
    <w:pPr>
      <w:adjustRightInd/>
      <w:spacing w:line="240" w:lineRule="auto"/>
      <w:textAlignment w:val="auto"/>
    </w:pPr>
    <w:rPr>
      <w:rFonts w:ascii="細明體" w:eastAsia="細明體" w:hAnsi="Courier New"/>
      <w:kern w:val="2"/>
      <w:lang w:val="x-none" w:eastAsia="x-none"/>
    </w:rPr>
  </w:style>
  <w:style w:type="character" w:customStyle="1" w:styleId="a7">
    <w:name w:val="純文字 字元"/>
    <w:basedOn w:val="a0"/>
    <w:link w:val="a6"/>
    <w:rsid w:val="008943F4"/>
    <w:rPr>
      <w:rFonts w:ascii="細明體" w:eastAsia="細明體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0"/>
    <w:rsid w:val="008943F4"/>
    <w:pPr>
      <w:spacing w:after="120" w:line="240" w:lineRule="auto"/>
      <w:ind w:left="2160" w:hanging="36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8943F4"/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4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8943F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8943F4"/>
  </w:style>
  <w:style w:type="paragraph" w:styleId="a6">
    <w:name w:val="Plain Text"/>
    <w:basedOn w:val="a"/>
    <w:link w:val="a7"/>
    <w:rsid w:val="008943F4"/>
    <w:pPr>
      <w:adjustRightInd/>
      <w:spacing w:line="240" w:lineRule="auto"/>
      <w:textAlignment w:val="auto"/>
    </w:pPr>
    <w:rPr>
      <w:rFonts w:ascii="細明體" w:eastAsia="細明體" w:hAnsi="Courier New"/>
      <w:kern w:val="2"/>
      <w:lang w:val="x-none" w:eastAsia="x-none"/>
    </w:rPr>
  </w:style>
  <w:style w:type="character" w:customStyle="1" w:styleId="a7">
    <w:name w:val="純文字 字元"/>
    <w:basedOn w:val="a0"/>
    <w:link w:val="a6"/>
    <w:rsid w:val="008943F4"/>
    <w:rPr>
      <w:rFonts w:ascii="細明體" w:eastAsia="細明體" w:hAnsi="Courier New" w:cs="Times New Roman"/>
      <w:szCs w:val="20"/>
      <w:lang w:val="x-none" w:eastAsia="x-none"/>
    </w:rPr>
  </w:style>
  <w:style w:type="paragraph" w:styleId="2">
    <w:name w:val="Body Text Indent 2"/>
    <w:basedOn w:val="a"/>
    <w:link w:val="20"/>
    <w:rsid w:val="008943F4"/>
    <w:pPr>
      <w:spacing w:after="120" w:line="240" w:lineRule="auto"/>
      <w:ind w:left="2160" w:hanging="36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8943F4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2016-05-06T02:36:00Z</dcterms:created>
  <dcterms:modified xsi:type="dcterms:W3CDTF">2016-05-06T03:09:00Z</dcterms:modified>
</cp:coreProperties>
</file>